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1A4D97" w14:textId="17FA0802" w:rsidR="00C73435" w:rsidRPr="00C73435" w:rsidRDefault="00C73435" w:rsidP="00C73435">
      <w:pPr>
        <w:spacing w:after="0" w:line="480" w:lineRule="auto"/>
        <w:ind w:firstLine="720"/>
        <w:jc w:val="center"/>
        <w:rPr>
          <w:rFonts w:ascii="Times New Roman" w:hAnsi="Times New Roman"/>
          <w:b/>
          <w:bCs/>
          <w:sz w:val="24"/>
          <w:szCs w:val="24"/>
        </w:rPr>
      </w:pPr>
      <w:r>
        <w:rPr>
          <w:rFonts w:ascii="Times New Roman" w:hAnsi="Times New Roman"/>
          <w:b/>
          <w:bCs/>
          <w:sz w:val="24"/>
          <w:szCs w:val="24"/>
        </w:rPr>
        <w:t>Season 1 Individual Difference Measurement Models</w:t>
      </w:r>
    </w:p>
    <w:p w14:paraId="0CBA8687" w14:textId="2109B5C7" w:rsidR="00203F14" w:rsidRDefault="00C73435" w:rsidP="00203F14">
      <w:pPr>
        <w:spacing w:after="0" w:line="480" w:lineRule="auto"/>
        <w:ind w:firstLine="720"/>
        <w:rPr>
          <w:rFonts w:ascii="Times New Roman" w:hAnsi="Times New Roman"/>
          <w:sz w:val="24"/>
          <w:szCs w:val="24"/>
        </w:rPr>
      </w:pPr>
      <w:r>
        <w:rPr>
          <w:rFonts w:ascii="Times New Roman" w:hAnsi="Times New Roman"/>
          <w:sz w:val="24"/>
          <w:szCs w:val="24"/>
        </w:rPr>
        <w:t>T</w:t>
      </w:r>
      <w:r w:rsidR="00203F14">
        <w:rPr>
          <w:rFonts w:ascii="Times New Roman" w:hAnsi="Times New Roman"/>
          <w:sz w:val="24"/>
          <w:szCs w:val="24"/>
        </w:rPr>
        <w:t xml:space="preserve">o </w:t>
      </w:r>
      <w:r w:rsidR="00203F14">
        <w:rPr>
          <w:rFonts w:ascii="Times New Roman" w:hAnsi="Times New Roman"/>
          <w:sz w:val="24"/>
          <w:szCs w:val="24"/>
        </w:rPr>
        <w:t xml:space="preserve">reduce </w:t>
      </w:r>
      <w:r w:rsidR="00203F14">
        <w:rPr>
          <w:rFonts w:ascii="Times New Roman" w:hAnsi="Times New Roman"/>
          <w:sz w:val="24"/>
          <w:szCs w:val="24"/>
        </w:rPr>
        <w:t xml:space="preserve">the dimensionality of </w:t>
      </w:r>
      <w:r>
        <w:rPr>
          <w:rFonts w:ascii="Times New Roman" w:hAnsi="Times New Roman"/>
          <w:sz w:val="24"/>
          <w:szCs w:val="24"/>
        </w:rPr>
        <w:t>the individual difference data from Season 1</w:t>
      </w:r>
      <w:r w:rsidR="00203F14">
        <w:rPr>
          <w:rFonts w:ascii="Times New Roman" w:hAnsi="Times New Roman"/>
          <w:sz w:val="24"/>
          <w:szCs w:val="24"/>
        </w:rPr>
        <w:t xml:space="preserve"> and generate a</w:t>
      </w:r>
      <w:r w:rsidR="00203F14">
        <w:rPr>
          <w:rFonts w:ascii="Times New Roman" w:hAnsi="Times New Roman"/>
          <w:sz w:val="24"/>
          <w:szCs w:val="24"/>
        </w:rPr>
        <w:t xml:space="preserve"> more parsimonious </w:t>
      </w:r>
      <w:r w:rsidR="00203F14">
        <w:rPr>
          <w:rFonts w:ascii="Times New Roman" w:hAnsi="Times New Roman"/>
          <w:sz w:val="24"/>
          <w:szCs w:val="24"/>
        </w:rPr>
        <w:t>measurement model, we adopted a two-step approach</w:t>
      </w:r>
      <w:r>
        <w:rPr>
          <w:rFonts w:ascii="Times New Roman" w:hAnsi="Times New Roman"/>
          <w:sz w:val="24"/>
          <w:szCs w:val="24"/>
        </w:rPr>
        <w:t xml:space="preserve">. We used </w:t>
      </w:r>
      <w:r w:rsidR="00203F14">
        <w:rPr>
          <w:rFonts w:ascii="Times New Roman" w:hAnsi="Times New Roman"/>
          <w:sz w:val="24"/>
          <w:szCs w:val="24"/>
        </w:rPr>
        <w:t>the supplementary sample to generate model parameters, which were then applied to the core participants to obtain factor scores. First, as a preliminary check, the structure of the response information was examined using Principal Components Analysis, in a purely data-driven approach. We expect</w:t>
      </w:r>
      <w:r w:rsidR="00203F14">
        <w:rPr>
          <w:rFonts w:ascii="Times New Roman" w:hAnsi="Times New Roman"/>
          <w:sz w:val="24"/>
          <w:szCs w:val="24"/>
        </w:rPr>
        <w:t xml:space="preserve">ed </w:t>
      </w:r>
      <w:r w:rsidR="00203F14">
        <w:rPr>
          <w:rFonts w:ascii="Times New Roman" w:hAnsi="Times New Roman"/>
          <w:sz w:val="24"/>
          <w:szCs w:val="24"/>
        </w:rPr>
        <w:t xml:space="preserve">to </w:t>
      </w:r>
      <w:r w:rsidR="00203F14">
        <w:rPr>
          <w:rFonts w:ascii="Times New Roman" w:hAnsi="Times New Roman"/>
          <w:sz w:val="24"/>
          <w:szCs w:val="24"/>
        </w:rPr>
        <w:t xml:space="preserve">confirm </w:t>
      </w:r>
      <w:r w:rsidR="00203F14">
        <w:rPr>
          <w:rFonts w:ascii="Times New Roman" w:hAnsi="Times New Roman"/>
          <w:sz w:val="24"/>
          <w:szCs w:val="24"/>
        </w:rPr>
        <w:t xml:space="preserve">results obtained by </w:t>
      </w:r>
      <w:r w:rsidR="00203F14">
        <w:rPr>
          <w:rFonts w:ascii="Times New Roman" w:hAnsi="Times New Roman"/>
          <w:sz w:val="24"/>
          <w:szCs w:val="24"/>
        </w:rPr>
        <w:fldChar w:fldCharType="begin" w:fldLock="1"/>
      </w:r>
      <w:r>
        <w:rPr>
          <w:rFonts w:ascii="Times New Roman" w:hAnsi="Times New Roman"/>
          <w:sz w:val="24"/>
          <w:szCs w:val="24"/>
        </w:rPr>
        <w:instrText>ADDIN CSL_CITATION {"citationItems":[{"id":"ITEM-1","itemData":{"DOI":"10.1037/xap0000040","ISSN":"1076898X","abstract":"This article extends psychological methods and concepts into a domain that is as profoundly consequential as it is poorly understood: intelligence analysis. We report findings from a geopolitical forecasting tournament that assessed the accuracy of more than 150,000 forecasts of 743 participants on 199 events occurring over 2 years. Participants were above average in intelligence and political knowledge relative to the general population. Individual differences in performance emerged, and forecasting skills were surprisingly consistent over time. Key predictors were (a) dispositional variables of cognitive ability, political knowledge, and open-mindedness; (b) situational variables of training in probabilistic reasoning and participation in collaborative teams that shared information and discussed rationales (Mellers, Ungar, et al., 2014); and (c) behavioral variables of deliberation time and frequency of belief updating. We developed a profile of the best forecasters; they were better at inductive reasoning, pattern detection, cognitive flexibility, and open-mindedness. They had greater understanding of geopolitics, training in probabilistic reasoning, and opportunities to succeed in cognitively enriched team environments. Last but not least, they viewed forecasting as a skill that required deliberate practice, sustained effort, and constant monitoring of current affairs.","author":[{"dropping-particle":"","family":"Mellers","given":"Barbara A.","non-dropping-particle":"","parse-names":false,"suffix":""},{"dropping-particle":"","family":"Stone","given":"Eric R","non-dropping-particle":"","parse-names":false,"suffix":""},{"dropping-particle":"","family":"Atanasov","given":"Pavel","non-dropping-particle":"","parse-names":false,"suffix":""},{"dropping-particle":"","family":"Rohrbaugh","given":"Nick","non-dropping-particle":"","parse-names":false,"suffix":""},{"dropping-particle":"","family":"Emlen Metz","given":"S.","non-dropping-particle":"","parse-names":false,"suffix":""},{"dropping-particle":"","family":"Ungar","given":"Lyle","non-dropping-particle":"","parse-names":false,"suffix":""},{"dropping-particle":"","family":"Bishop","given":"Michael M.","non-dropping-particle":"","parse-names":false,"suffix":""},{"dropping-particle":"","family":"Horowitz","given":"Michael","non-dropping-particle":"","parse-names":false,"suffix":""},{"dropping-particle":"","family":"Merkle","given":"Ed","non-dropping-particle":"","parse-names":false,"suffix":""},{"dropping-particle":"","family":"Tetlock","given":"Philip E","non-dropping-particle":"","parse-names":false,"suffix":""}],"container-title":"Journal of Experimental Psychology: Applied","id":"ITEM-1","issue":"1","issued":{"date-parts":[["2015"]]},"page":"1-14","publisher":"American Psychological Association","title":"The psychology of intelligence analysis: Drivers of prediction accuracy in world politics","type":"article-journal","volume":"21"},"uris":["http://www.mendeley.com/documents/?uuid=3f2f94aa-1112-3b13-9a16-eae857374637"]}],"mendeley":{"formattedCitation":"(Mellers et al., 2015)","manualFormatting":"Mellers, et al. (2015a)","plainTextFormattedCitation":"(Mellers et al., 2015)","previouslyFormattedCitation":"(B. A. Mellers, Stone, Atanasov, et al., 2015)"},"properties":{"noteIndex":0},"schema":"https://github.com/citation-style-language/schema/raw/master/csl-citation.json"}</w:instrText>
      </w:r>
      <w:r w:rsidR="00203F14">
        <w:rPr>
          <w:rFonts w:ascii="Times New Roman" w:hAnsi="Times New Roman"/>
          <w:sz w:val="24"/>
          <w:szCs w:val="24"/>
        </w:rPr>
        <w:fldChar w:fldCharType="separate"/>
      </w:r>
      <w:r w:rsidR="00203F14" w:rsidRPr="000340F4">
        <w:rPr>
          <w:rFonts w:ascii="Times New Roman" w:hAnsi="Times New Roman"/>
          <w:noProof/>
          <w:sz w:val="24"/>
          <w:szCs w:val="24"/>
        </w:rPr>
        <w:t xml:space="preserve">Mellers, et al. </w:t>
      </w:r>
      <w:r w:rsidR="00203F14">
        <w:rPr>
          <w:rFonts w:ascii="Times New Roman" w:hAnsi="Times New Roman"/>
          <w:noProof/>
          <w:sz w:val="24"/>
          <w:szCs w:val="24"/>
        </w:rPr>
        <w:t>(</w:t>
      </w:r>
      <w:r w:rsidR="00203F14" w:rsidRPr="000340F4">
        <w:rPr>
          <w:rFonts w:ascii="Times New Roman" w:hAnsi="Times New Roman"/>
          <w:noProof/>
          <w:sz w:val="24"/>
          <w:szCs w:val="24"/>
        </w:rPr>
        <w:t>2015</w:t>
      </w:r>
      <w:r w:rsidR="00203F14">
        <w:rPr>
          <w:rFonts w:ascii="Times New Roman" w:hAnsi="Times New Roman"/>
          <w:noProof/>
          <w:sz w:val="24"/>
          <w:szCs w:val="24"/>
        </w:rPr>
        <w:t>a</w:t>
      </w:r>
      <w:r w:rsidR="00203F14" w:rsidRPr="000340F4">
        <w:rPr>
          <w:rFonts w:ascii="Times New Roman" w:hAnsi="Times New Roman"/>
          <w:noProof/>
          <w:sz w:val="24"/>
          <w:szCs w:val="24"/>
        </w:rPr>
        <w:t>)</w:t>
      </w:r>
      <w:r w:rsidR="00203F14">
        <w:rPr>
          <w:rFonts w:ascii="Times New Roman" w:hAnsi="Times New Roman"/>
          <w:sz w:val="24"/>
          <w:szCs w:val="24"/>
        </w:rPr>
        <w:fldChar w:fldCharType="end"/>
      </w:r>
      <w:r w:rsidR="00203F14">
        <w:rPr>
          <w:rFonts w:ascii="Times New Roman" w:hAnsi="Times New Roman"/>
          <w:sz w:val="24"/>
          <w:szCs w:val="24"/>
        </w:rPr>
        <w:t xml:space="preserve">, so we also took a theoretically driven confirmatory factor approach. Specifically, the four measures of fluid intelligence were expected to load onto a single trait, and the two measures of cognitive style were expected to load onto a single trait. Because the items associated with these scales have binary (correct vs. incorrect) and 5-point Likert response structures, a bifactor Item Response </w:t>
      </w:r>
      <w:r w:rsidR="00203F14">
        <w:rPr>
          <w:rFonts w:ascii="Times New Roman" w:hAnsi="Times New Roman"/>
          <w:sz w:val="24"/>
          <w:szCs w:val="24"/>
        </w:rPr>
        <w:t xml:space="preserve">model was fit </w:t>
      </w:r>
      <w:r w:rsidR="00203F14">
        <w:rPr>
          <w:rFonts w:ascii="Times New Roman" w:hAnsi="Times New Roman"/>
          <w:sz w:val="24"/>
          <w:szCs w:val="24"/>
        </w:rPr>
        <w:fldChar w:fldCharType="begin" w:fldLock="1"/>
      </w:r>
      <w:r w:rsidR="00203F14">
        <w:rPr>
          <w:rFonts w:ascii="Times New Roman" w:hAnsi="Times New Roman"/>
          <w:sz w:val="24"/>
          <w:szCs w:val="24"/>
        </w:rPr>
        <w:instrText>ADDIN CSL_CITATION {"citationItems":[{"id":"ITEM-1","itemData":{"author":[{"dropping-particle":"","family":"Reise","given":"Steven P","non-dropping-particle":"","parse-names":false,"suffix":""}],"container-title":"Multivariate behavioral research","id":"ITEM-1","issue":"5","issued":{"date-parts":[["2012"]]},"page":"667-696","publisher":"Taylor &amp; Francis","title":"The rediscovery of bifactor measurement models","type":"article-journal","volume":"47"},"uris":["http://www.mendeley.com/documents/?uuid=31567b3d-d904-4cbe-b016-5d20a1c97e59"]}],"mendeley":{"formattedCitation":"(Reise, 2012)","plainTextFormattedCitation":"(Reise, 2012)","previouslyFormattedCitation":"(Reise, 2012)"},"properties":{"noteIndex":0},"schema":"https://github.com/citation-style-language/schema/raw/master/csl-citation.json"}</w:instrText>
      </w:r>
      <w:r w:rsidR="00203F14">
        <w:rPr>
          <w:rFonts w:ascii="Times New Roman" w:hAnsi="Times New Roman"/>
          <w:sz w:val="24"/>
          <w:szCs w:val="24"/>
        </w:rPr>
        <w:fldChar w:fldCharType="separate"/>
      </w:r>
      <w:r w:rsidR="00203F14" w:rsidRPr="000340F4">
        <w:rPr>
          <w:rFonts w:ascii="Times New Roman" w:hAnsi="Times New Roman"/>
          <w:noProof/>
          <w:sz w:val="24"/>
          <w:szCs w:val="24"/>
        </w:rPr>
        <w:t>(Reise, 2012)</w:t>
      </w:r>
      <w:r w:rsidR="00203F14">
        <w:rPr>
          <w:rFonts w:ascii="Times New Roman" w:hAnsi="Times New Roman"/>
          <w:sz w:val="24"/>
          <w:szCs w:val="24"/>
        </w:rPr>
        <w:fldChar w:fldCharType="end"/>
      </w:r>
      <w:r w:rsidR="00203F14">
        <w:rPr>
          <w:rFonts w:ascii="Times New Roman" w:hAnsi="Times New Roman"/>
          <w:sz w:val="24"/>
          <w:szCs w:val="24"/>
        </w:rPr>
        <w:t>. The bifactor model, a variant of confirmatory factor analysis, is a method for distilling relevant constructs from individual items across different methods. It contains a general factor, representing the construct of interest, as well as method-specific</w:t>
      </w:r>
      <w:r w:rsidR="00203F14">
        <w:rPr>
          <w:rFonts w:ascii="Times New Roman" w:hAnsi="Times New Roman"/>
          <w:sz w:val="24"/>
          <w:szCs w:val="24"/>
        </w:rPr>
        <w:t xml:space="preserve"> factor</w:t>
      </w:r>
      <w:r w:rsidR="00203F14">
        <w:rPr>
          <w:rFonts w:ascii="Times New Roman" w:hAnsi="Times New Roman"/>
          <w:sz w:val="24"/>
          <w:szCs w:val="24"/>
        </w:rPr>
        <w:t xml:space="preserve">. The method factors partial out variability unique to each scale, but </w:t>
      </w:r>
      <w:r w:rsidR="00203F14">
        <w:rPr>
          <w:rFonts w:ascii="Times New Roman" w:hAnsi="Times New Roman"/>
          <w:sz w:val="24"/>
          <w:szCs w:val="24"/>
        </w:rPr>
        <w:t xml:space="preserve">not related to the </w:t>
      </w:r>
      <w:r w:rsidR="00203F14">
        <w:rPr>
          <w:rFonts w:ascii="Times New Roman" w:hAnsi="Times New Roman"/>
          <w:sz w:val="24"/>
          <w:szCs w:val="24"/>
        </w:rPr>
        <w:t xml:space="preserve">construct of interest. See Figure 2 for the bifactor model path diagrams. </w:t>
      </w:r>
    </w:p>
    <w:p w14:paraId="08D43D44" w14:textId="1C0FE986" w:rsidR="003A1978" w:rsidRDefault="003A1978"/>
    <w:p w14:paraId="7419F316" w14:textId="77777777" w:rsidR="00203F14" w:rsidRDefault="00203F14" w:rsidP="00203F14">
      <w:pPr>
        <w:spacing w:after="0" w:line="48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76DE300D" wp14:editId="44E66074">
            <wp:extent cx="5954077" cy="1311204"/>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31919" cy="1328346"/>
                    </a:xfrm>
                    <a:prstGeom prst="rect">
                      <a:avLst/>
                    </a:prstGeom>
                    <a:noFill/>
                  </pic:spPr>
                </pic:pic>
              </a:graphicData>
            </a:graphic>
          </wp:inline>
        </w:drawing>
      </w:r>
    </w:p>
    <w:p w14:paraId="228F8496" w14:textId="77777777" w:rsidR="00203F14" w:rsidRDefault="00203F14" w:rsidP="00203F14">
      <w:pPr>
        <w:spacing w:after="0" w:line="276" w:lineRule="auto"/>
        <w:rPr>
          <w:rFonts w:ascii="Times New Roman" w:hAnsi="Times New Roman" w:cs="Times New Roman"/>
        </w:rPr>
      </w:pPr>
      <w:r w:rsidRPr="002173AA">
        <w:rPr>
          <w:rFonts w:ascii="Times New Roman" w:hAnsi="Times New Roman" w:cs="Times New Roman"/>
          <w:i/>
          <w:iCs/>
        </w:rPr>
        <w:t>Figure 2</w:t>
      </w:r>
      <w:r w:rsidRPr="002173AA">
        <w:rPr>
          <w:rFonts w:ascii="Times New Roman" w:hAnsi="Times New Roman" w:cs="Times New Roman"/>
        </w:rPr>
        <w:t xml:space="preserve">. Path diagrams for bifactor models of intelligence measures and cognitive styles (Season 1). Each scale’s individual items load onto a general factor, which is the variable of interest. Scale-specific factors are also obtained to help account for measurement effects related to individual scales. </w:t>
      </w:r>
    </w:p>
    <w:p w14:paraId="297E79F8" w14:textId="324D165F" w:rsidR="00203F14" w:rsidRDefault="00203F14"/>
    <w:p w14:paraId="131111B3" w14:textId="66801403" w:rsidR="00034A34" w:rsidRPr="00AE6AAB" w:rsidRDefault="00034A34" w:rsidP="00034A34">
      <w:pPr>
        <w:spacing w:after="0" w:line="480" w:lineRule="auto"/>
        <w:ind w:firstLine="720"/>
        <w:rPr>
          <w:rFonts w:ascii="Times New Roman" w:eastAsia="Yu Mincho" w:hAnsi="Times New Roman"/>
          <w:iCs/>
          <w:sz w:val="24"/>
          <w:szCs w:val="24"/>
        </w:rPr>
      </w:pPr>
      <w:r w:rsidRPr="004B6318">
        <w:rPr>
          <w:rFonts w:ascii="Times New Roman" w:eastAsia="Yu Mincho" w:hAnsi="Times New Roman"/>
          <w:i/>
          <w:sz w:val="24"/>
          <w:szCs w:val="24"/>
        </w:rPr>
        <w:lastRenderedPageBreak/>
        <w:t>Dimensionality of Individual Differences</w:t>
      </w:r>
      <w:r>
        <w:rPr>
          <w:rFonts w:ascii="Times New Roman" w:eastAsia="Yu Mincho" w:hAnsi="Times New Roman"/>
          <w:i/>
          <w:sz w:val="24"/>
          <w:szCs w:val="24"/>
        </w:rPr>
        <w:t>.</w:t>
      </w:r>
      <w:r>
        <w:rPr>
          <w:rFonts w:ascii="Times New Roman" w:eastAsia="Yu Mincho" w:hAnsi="Times New Roman"/>
          <w:iCs/>
          <w:sz w:val="24"/>
          <w:szCs w:val="24"/>
        </w:rPr>
        <w:t xml:space="preserve"> </w:t>
      </w:r>
      <w:r w:rsidRPr="00AE6AAB">
        <w:rPr>
          <w:rFonts w:ascii="Times New Roman" w:eastAsia="Yu Mincho" w:hAnsi="Times New Roman"/>
          <w:iCs/>
          <w:sz w:val="24"/>
          <w:szCs w:val="24"/>
        </w:rPr>
        <w:t xml:space="preserve">The results from GJP and </w:t>
      </w:r>
      <w:r>
        <w:rPr>
          <w:rFonts w:ascii="Times New Roman" w:eastAsia="Yu Mincho" w:hAnsi="Times New Roman"/>
          <w:iCs/>
          <w:sz w:val="24"/>
          <w:szCs w:val="24"/>
        </w:rPr>
        <w:t xml:space="preserve">the composition of our battery </w:t>
      </w:r>
      <w:r w:rsidRPr="00AE6AAB">
        <w:rPr>
          <w:rFonts w:ascii="Times New Roman" w:eastAsia="Yu Mincho" w:hAnsi="Times New Roman"/>
          <w:iCs/>
          <w:sz w:val="24"/>
          <w:szCs w:val="24"/>
        </w:rPr>
        <w:t xml:space="preserve">provide theoretical expectations that the four measures of </w:t>
      </w:r>
      <w:r>
        <w:rPr>
          <w:rFonts w:ascii="Times New Roman" w:eastAsia="Yu Mincho" w:hAnsi="Times New Roman"/>
          <w:iCs/>
          <w:sz w:val="24"/>
          <w:szCs w:val="24"/>
        </w:rPr>
        <w:t xml:space="preserve">fluid </w:t>
      </w:r>
      <w:r w:rsidRPr="00AE6AAB">
        <w:rPr>
          <w:rFonts w:ascii="Times New Roman" w:eastAsia="Yu Mincho" w:hAnsi="Times New Roman"/>
          <w:iCs/>
          <w:sz w:val="24"/>
          <w:szCs w:val="24"/>
        </w:rPr>
        <w:t xml:space="preserve">intelligence, two measures of cognitive style, and the political domain knowledge quiz </w:t>
      </w:r>
      <w:r>
        <w:rPr>
          <w:rFonts w:ascii="Times New Roman" w:eastAsia="Yu Mincho" w:hAnsi="Times New Roman"/>
          <w:iCs/>
          <w:sz w:val="24"/>
          <w:szCs w:val="24"/>
        </w:rPr>
        <w:t xml:space="preserve">would </w:t>
      </w:r>
      <w:r w:rsidRPr="00AE6AAB">
        <w:rPr>
          <w:rFonts w:ascii="Times New Roman" w:eastAsia="Yu Mincho" w:hAnsi="Times New Roman"/>
          <w:iCs/>
          <w:sz w:val="24"/>
          <w:szCs w:val="24"/>
        </w:rPr>
        <w:t xml:space="preserve">represent distinct factors. </w:t>
      </w:r>
      <w:r>
        <w:rPr>
          <w:rFonts w:ascii="Times New Roman" w:eastAsia="Yu Mincho" w:hAnsi="Times New Roman"/>
          <w:iCs/>
          <w:sz w:val="24"/>
          <w:szCs w:val="24"/>
        </w:rPr>
        <w:t>A p</w:t>
      </w:r>
      <w:r w:rsidRPr="00AE6AAB">
        <w:rPr>
          <w:rFonts w:ascii="Times New Roman" w:eastAsia="Yu Mincho" w:hAnsi="Times New Roman"/>
          <w:iCs/>
          <w:sz w:val="24"/>
          <w:szCs w:val="24"/>
        </w:rPr>
        <w:t>rincipal components analysis (PCA)</w:t>
      </w:r>
      <w:r>
        <w:rPr>
          <w:rFonts w:ascii="Times New Roman" w:eastAsia="Yu Mincho" w:hAnsi="Times New Roman"/>
          <w:iCs/>
          <w:sz w:val="24"/>
          <w:szCs w:val="24"/>
        </w:rPr>
        <w:t xml:space="preserve"> and a p</w:t>
      </w:r>
      <w:r>
        <w:rPr>
          <w:rFonts w:ascii="Times New Roman" w:eastAsia="Yu Mincho" w:hAnsi="Times New Roman"/>
          <w:iCs/>
          <w:sz w:val="24"/>
          <w:szCs w:val="24"/>
        </w:rPr>
        <w:t xml:space="preserve">arallel analysis which compares the eigenvalues associated with each component to mean simulated eigenvalues from a series of randomly generated datasets of matching size and structure, suggested that </w:t>
      </w:r>
      <w:r>
        <w:rPr>
          <w:rFonts w:ascii="Times New Roman" w:eastAsia="Yu Mincho" w:hAnsi="Times New Roman"/>
          <w:iCs/>
          <w:sz w:val="24"/>
          <w:szCs w:val="24"/>
        </w:rPr>
        <w:t xml:space="preserve">the first </w:t>
      </w:r>
      <w:r>
        <w:rPr>
          <w:rFonts w:ascii="Times New Roman" w:eastAsia="Yu Mincho" w:hAnsi="Times New Roman"/>
          <w:iCs/>
          <w:sz w:val="24"/>
          <w:szCs w:val="24"/>
        </w:rPr>
        <w:t>two components repr</w:t>
      </w:r>
      <w:r>
        <w:rPr>
          <w:rFonts w:ascii="Times New Roman" w:eastAsia="Yu Mincho" w:hAnsi="Times New Roman"/>
          <w:iCs/>
          <w:sz w:val="24"/>
          <w:szCs w:val="24"/>
        </w:rPr>
        <w:t xml:space="preserve">oduced </w:t>
      </w:r>
      <w:r>
        <w:rPr>
          <w:rFonts w:ascii="Times New Roman" w:eastAsia="Yu Mincho" w:hAnsi="Times New Roman"/>
          <w:iCs/>
          <w:sz w:val="24"/>
          <w:szCs w:val="24"/>
        </w:rPr>
        <w:t xml:space="preserve">a greater proportion of variance than would be expected by chance (See Figure 5). </w:t>
      </w:r>
      <w:r>
        <w:rPr>
          <w:rFonts w:ascii="Times New Roman" w:eastAsia="Yu Mincho" w:hAnsi="Times New Roman"/>
          <w:iCs/>
          <w:sz w:val="24"/>
          <w:szCs w:val="24"/>
        </w:rPr>
        <w:t xml:space="preserve">The </w:t>
      </w:r>
      <w:r>
        <w:rPr>
          <w:rFonts w:ascii="Times New Roman" w:eastAsia="Yu Mincho" w:hAnsi="Times New Roman"/>
          <w:iCs/>
          <w:sz w:val="24"/>
          <w:szCs w:val="24"/>
        </w:rPr>
        <w:t>component loadings (Table 3) revealed the</w:t>
      </w:r>
      <w:r>
        <w:rPr>
          <w:rFonts w:ascii="Times New Roman" w:eastAsia="Yu Mincho" w:hAnsi="Times New Roman"/>
          <w:iCs/>
          <w:sz w:val="24"/>
          <w:szCs w:val="24"/>
        </w:rPr>
        <w:t xml:space="preserve">se </w:t>
      </w:r>
      <w:r>
        <w:rPr>
          <w:rFonts w:ascii="Times New Roman" w:eastAsia="Yu Mincho" w:hAnsi="Times New Roman"/>
          <w:iCs/>
          <w:sz w:val="24"/>
          <w:szCs w:val="24"/>
        </w:rPr>
        <w:t>components were driven by fluid intelligence scales (</w:t>
      </w:r>
      <w:r>
        <w:rPr>
          <w:rFonts w:ascii="Times New Roman" w:eastAsia="Yu Mincho" w:hAnsi="Times New Roman"/>
          <w:iCs/>
          <w:sz w:val="24"/>
          <w:szCs w:val="24"/>
        </w:rPr>
        <w:t>PC</w:t>
      </w:r>
      <w:r>
        <w:rPr>
          <w:rFonts w:ascii="Times New Roman" w:eastAsia="Yu Mincho" w:hAnsi="Times New Roman"/>
          <w:iCs/>
          <w:sz w:val="24"/>
          <w:szCs w:val="24"/>
        </w:rPr>
        <w:t>1) and cognitive styles (</w:t>
      </w:r>
      <w:r>
        <w:rPr>
          <w:rFonts w:ascii="Times New Roman" w:eastAsia="Yu Mincho" w:hAnsi="Times New Roman"/>
          <w:iCs/>
          <w:sz w:val="24"/>
          <w:szCs w:val="24"/>
        </w:rPr>
        <w:t>PC</w:t>
      </w:r>
      <w:r>
        <w:rPr>
          <w:rFonts w:ascii="Times New Roman" w:eastAsia="Yu Mincho" w:hAnsi="Times New Roman"/>
          <w:iCs/>
          <w:sz w:val="24"/>
          <w:szCs w:val="24"/>
        </w:rPr>
        <w:t>2). Political knowledge showed high loading on the third component. Given a priori theoretical expectations and this loading pattern, we proceeded to treat political knowledge as a separate third factor.</w:t>
      </w:r>
    </w:p>
    <w:p w14:paraId="10E0AEC9" w14:textId="50DB8585" w:rsidR="00034A34" w:rsidRDefault="00034A34" w:rsidP="00034A34">
      <w:pPr>
        <w:spacing w:after="0" w:line="480" w:lineRule="auto"/>
        <w:rPr>
          <w:rFonts w:ascii="Times New Roman" w:eastAsia="Yu Mincho" w:hAnsi="Times New Roman"/>
          <w:iCs/>
          <w:sz w:val="24"/>
          <w:szCs w:val="24"/>
        </w:rPr>
      </w:pPr>
      <w:r w:rsidRPr="00AE6AAB">
        <w:rPr>
          <w:rFonts w:ascii="Times New Roman" w:eastAsia="Yu Mincho" w:hAnsi="Times New Roman"/>
          <w:iCs/>
          <w:sz w:val="24"/>
          <w:szCs w:val="24"/>
        </w:rPr>
        <w:tab/>
        <w:t xml:space="preserve">We </w:t>
      </w:r>
      <w:r>
        <w:rPr>
          <w:rFonts w:ascii="Times New Roman" w:eastAsia="Yu Mincho" w:hAnsi="Times New Roman"/>
          <w:iCs/>
          <w:sz w:val="24"/>
          <w:szCs w:val="24"/>
        </w:rPr>
        <w:t>next</w:t>
      </w:r>
      <w:r w:rsidRPr="00AE6AAB">
        <w:rPr>
          <w:rFonts w:ascii="Times New Roman" w:eastAsia="Yu Mincho" w:hAnsi="Times New Roman"/>
          <w:iCs/>
          <w:sz w:val="24"/>
          <w:szCs w:val="24"/>
        </w:rPr>
        <w:t xml:space="preserve"> fit bifactor models for the</w:t>
      </w:r>
      <w:r>
        <w:rPr>
          <w:rFonts w:ascii="Times New Roman" w:eastAsia="Yu Mincho" w:hAnsi="Times New Roman"/>
          <w:iCs/>
          <w:sz w:val="24"/>
          <w:szCs w:val="24"/>
        </w:rPr>
        <w:t xml:space="preserve"> fluid</w:t>
      </w:r>
      <w:r w:rsidRPr="00AE6AAB">
        <w:rPr>
          <w:rFonts w:ascii="Times New Roman" w:eastAsia="Yu Mincho" w:hAnsi="Times New Roman"/>
          <w:iCs/>
          <w:sz w:val="24"/>
          <w:szCs w:val="24"/>
        </w:rPr>
        <w:t xml:space="preserve"> intelligence and cognitive style measures on the</w:t>
      </w:r>
      <w:r w:rsidRPr="00AE6AAB">
        <w:rPr>
          <w:rFonts w:ascii="Times New Roman" w:eastAsia="Yu Mincho" w:hAnsi="Times New Roman"/>
          <w:iCs/>
          <w:sz w:val="24"/>
          <w:szCs w:val="24"/>
        </w:rPr>
        <w:t xml:space="preserve"> </w:t>
      </w:r>
      <w:r>
        <w:rPr>
          <w:rFonts w:ascii="Times New Roman" w:eastAsia="Yu Mincho" w:hAnsi="Times New Roman"/>
          <w:iCs/>
          <w:sz w:val="24"/>
          <w:szCs w:val="24"/>
        </w:rPr>
        <w:t>supplementary sample</w:t>
      </w:r>
      <w:r w:rsidRPr="00AE6AAB">
        <w:rPr>
          <w:rFonts w:ascii="Times New Roman" w:eastAsia="Yu Mincho" w:hAnsi="Times New Roman"/>
          <w:iCs/>
          <w:sz w:val="24"/>
          <w:szCs w:val="24"/>
        </w:rPr>
        <w:t xml:space="preserve"> </w:t>
      </w:r>
      <w:r w:rsidRPr="00AE6AAB">
        <w:rPr>
          <w:rFonts w:ascii="Times New Roman" w:eastAsia="Yu Mincho" w:hAnsi="Times New Roman"/>
          <w:iCs/>
          <w:sz w:val="24"/>
          <w:szCs w:val="24"/>
        </w:rPr>
        <w:t>(n=1,380). Both models showed strong fit to the data; M2</w:t>
      </w:r>
      <w:r w:rsidRPr="00C73435">
        <w:rPr>
          <w:rStyle w:val="FootnoteReference"/>
        </w:rPr>
        <w:footnoteReference w:id="1"/>
      </w:r>
      <w:r w:rsidRPr="00AE6AAB">
        <w:rPr>
          <w:rFonts w:ascii="Times New Roman" w:eastAsia="Yu Mincho" w:hAnsi="Times New Roman"/>
          <w:iCs/>
          <w:sz w:val="24"/>
          <w:szCs w:val="24"/>
        </w:rPr>
        <w:t xml:space="preserve">(375) = 721.11, RMSEA = .03, SRMSR = .03, CFI = .96 for </w:t>
      </w:r>
      <w:r>
        <w:rPr>
          <w:rFonts w:ascii="Times New Roman" w:eastAsia="Yu Mincho" w:hAnsi="Times New Roman"/>
          <w:iCs/>
          <w:sz w:val="24"/>
          <w:szCs w:val="24"/>
        </w:rPr>
        <w:t xml:space="preserve">fluid </w:t>
      </w:r>
      <w:r w:rsidRPr="00AE6AAB">
        <w:rPr>
          <w:rFonts w:ascii="Times New Roman" w:eastAsia="Yu Mincho" w:hAnsi="Times New Roman"/>
          <w:iCs/>
          <w:sz w:val="24"/>
          <w:szCs w:val="24"/>
        </w:rPr>
        <w:t xml:space="preserve">intelligence; M2(195) = </w:t>
      </w:r>
      <w:r w:rsidRPr="00AE6AAB">
        <w:rPr>
          <w:rFonts w:ascii="Times New Roman" w:eastAsia="Yu Mincho" w:hAnsi="Times New Roman"/>
          <w:iCs/>
          <w:sz w:val="24"/>
          <w:szCs w:val="24"/>
        </w:rPr>
        <w:t xml:space="preserve">456.05, RMSEA = .03, SRMSR = .07, CFI = .95 for cognitive style. See Table 4 for mean item factor loadings on the general measures. </w:t>
      </w:r>
      <w:r>
        <w:rPr>
          <w:rFonts w:ascii="Times New Roman" w:eastAsia="Yu Mincho" w:hAnsi="Times New Roman"/>
          <w:iCs/>
          <w:sz w:val="24"/>
          <w:szCs w:val="24"/>
        </w:rPr>
        <w:t xml:space="preserve">Because the third factor (Political Knowledge) only represented a single scale, raw scores were used rather than factor scores. </w:t>
      </w:r>
    </w:p>
    <w:p w14:paraId="169E15AF" w14:textId="77777777" w:rsidR="00034A34" w:rsidRDefault="00034A34" w:rsidP="00034A34">
      <w:pPr>
        <w:spacing w:after="0" w:line="480" w:lineRule="auto"/>
        <w:rPr>
          <w:rFonts w:ascii="Times New Roman" w:eastAsia="Yu Mincho" w:hAnsi="Times New Roman"/>
          <w:iCs/>
          <w:sz w:val="24"/>
          <w:szCs w:val="24"/>
        </w:rPr>
      </w:pPr>
    </w:p>
    <w:p w14:paraId="49B2AB0C" w14:textId="77777777" w:rsidR="00034A34" w:rsidRDefault="00034A34" w:rsidP="00034A34">
      <w:pPr>
        <w:spacing w:line="480" w:lineRule="auto"/>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000F67D9" wp14:editId="6A0FAF98">
            <wp:extent cx="5512435" cy="2756219"/>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c_para.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532019" cy="2766011"/>
                    </a:xfrm>
                    <a:prstGeom prst="rect">
                      <a:avLst/>
                    </a:prstGeom>
                  </pic:spPr>
                </pic:pic>
              </a:graphicData>
            </a:graphic>
          </wp:inline>
        </w:drawing>
      </w:r>
    </w:p>
    <w:p w14:paraId="6658C858" w14:textId="77777777" w:rsidR="00034A34" w:rsidRPr="003E5301" w:rsidRDefault="00034A34" w:rsidP="00034A34">
      <w:pPr>
        <w:spacing w:line="480" w:lineRule="auto"/>
        <w:rPr>
          <w:rFonts w:ascii="Times New Roman" w:hAnsi="Times New Roman" w:cs="Times New Roman"/>
        </w:rPr>
      </w:pPr>
      <w:r w:rsidRPr="003E5301">
        <w:rPr>
          <w:rFonts w:ascii="Times New Roman" w:hAnsi="Times New Roman" w:cs="Times New Roman"/>
          <w:i/>
          <w:iCs/>
        </w:rPr>
        <w:t xml:space="preserve">Figure 5. </w:t>
      </w:r>
      <w:r w:rsidRPr="003E5301">
        <w:rPr>
          <w:rFonts w:ascii="Times New Roman" w:hAnsi="Times New Roman" w:cs="Times New Roman"/>
        </w:rPr>
        <w:t>Parallel analysis of principal components analysis of individual difference measures (Season 1).</w:t>
      </w:r>
    </w:p>
    <w:p w14:paraId="770AC1C4" w14:textId="77777777" w:rsidR="00034A34" w:rsidRDefault="00034A34" w:rsidP="00034A34">
      <w:pPr>
        <w:spacing w:after="0" w:line="480" w:lineRule="auto"/>
        <w:rPr>
          <w:rFonts w:ascii="Times New Roman" w:hAnsi="Times New Roman"/>
          <w:sz w:val="24"/>
          <w:szCs w:val="24"/>
        </w:rPr>
      </w:pPr>
      <w:r>
        <w:rPr>
          <w:rFonts w:ascii="Times New Roman" w:hAnsi="Times New Roman"/>
          <w:sz w:val="24"/>
          <w:szCs w:val="24"/>
        </w:rPr>
        <w:t>Table 3</w:t>
      </w:r>
    </w:p>
    <w:p w14:paraId="72B86852" w14:textId="77777777" w:rsidR="00034A34" w:rsidRPr="00B1685B" w:rsidRDefault="00034A34" w:rsidP="00034A34">
      <w:pPr>
        <w:spacing w:after="0" w:line="480" w:lineRule="auto"/>
        <w:rPr>
          <w:rFonts w:ascii="Times New Roman" w:hAnsi="Times New Roman"/>
          <w:i/>
          <w:iCs/>
          <w:sz w:val="24"/>
          <w:szCs w:val="24"/>
        </w:rPr>
      </w:pPr>
      <w:r w:rsidRPr="00B1685B">
        <w:rPr>
          <w:rFonts w:ascii="Times New Roman" w:hAnsi="Times New Roman"/>
          <w:i/>
          <w:iCs/>
          <w:sz w:val="24"/>
          <w:szCs w:val="24"/>
        </w:rPr>
        <w:t>Principal Component Loadings for Psychometric Surveys (</w:t>
      </w:r>
      <w:r>
        <w:rPr>
          <w:rFonts w:ascii="Times New Roman" w:hAnsi="Times New Roman"/>
          <w:i/>
          <w:iCs/>
          <w:sz w:val="24"/>
          <w:szCs w:val="24"/>
        </w:rPr>
        <w:t xml:space="preserve">Season 1; </w:t>
      </w:r>
      <w:r w:rsidRPr="00B1685B">
        <w:rPr>
          <w:rFonts w:ascii="Times New Roman" w:hAnsi="Times New Roman"/>
          <w:i/>
          <w:iCs/>
          <w:sz w:val="24"/>
          <w:szCs w:val="24"/>
        </w:rPr>
        <w:t>n = 1,380)</w:t>
      </w:r>
    </w:p>
    <w:tbl>
      <w:tblPr>
        <w:tblW w:w="5000" w:type="pct"/>
        <w:jc w:val="center"/>
        <w:tblLook w:val="04A0" w:firstRow="1" w:lastRow="0" w:firstColumn="1" w:lastColumn="0" w:noHBand="0" w:noVBand="1"/>
      </w:tblPr>
      <w:tblGrid>
        <w:gridCol w:w="1762"/>
        <w:gridCol w:w="1086"/>
        <w:gridCol w:w="1086"/>
        <w:gridCol w:w="1086"/>
        <w:gridCol w:w="1086"/>
        <w:gridCol w:w="1086"/>
        <w:gridCol w:w="1086"/>
        <w:gridCol w:w="1082"/>
      </w:tblGrid>
      <w:tr w:rsidR="00034A34" w:rsidRPr="009F0525" w14:paraId="63DB56C4" w14:textId="77777777" w:rsidTr="00A4068E">
        <w:trPr>
          <w:trHeight w:val="308"/>
          <w:jc w:val="center"/>
        </w:trPr>
        <w:tc>
          <w:tcPr>
            <w:tcW w:w="942" w:type="pct"/>
            <w:tcBorders>
              <w:top w:val="single" w:sz="4" w:space="0" w:color="auto"/>
              <w:left w:val="nil"/>
              <w:bottom w:val="single" w:sz="4" w:space="0" w:color="auto"/>
              <w:right w:val="nil"/>
            </w:tcBorders>
            <w:shd w:val="clear" w:color="auto" w:fill="auto"/>
            <w:noWrap/>
            <w:vAlign w:val="bottom"/>
            <w:hideMark/>
          </w:tcPr>
          <w:p w14:paraId="27871630" w14:textId="77777777" w:rsidR="00034A34" w:rsidRPr="004D13B3" w:rsidRDefault="00034A34" w:rsidP="00A4068E">
            <w:pPr>
              <w:spacing w:after="0" w:line="240" w:lineRule="auto"/>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 </w:t>
            </w:r>
          </w:p>
        </w:tc>
        <w:tc>
          <w:tcPr>
            <w:tcW w:w="580" w:type="pct"/>
            <w:tcBorders>
              <w:top w:val="single" w:sz="4" w:space="0" w:color="auto"/>
              <w:left w:val="nil"/>
              <w:bottom w:val="single" w:sz="4" w:space="0" w:color="auto"/>
              <w:right w:val="nil"/>
            </w:tcBorders>
            <w:shd w:val="clear" w:color="auto" w:fill="auto"/>
            <w:noWrap/>
            <w:vAlign w:val="bottom"/>
            <w:hideMark/>
          </w:tcPr>
          <w:p w14:paraId="046B07C8"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PC1</w:t>
            </w:r>
          </w:p>
        </w:tc>
        <w:tc>
          <w:tcPr>
            <w:tcW w:w="580" w:type="pct"/>
            <w:tcBorders>
              <w:top w:val="single" w:sz="4" w:space="0" w:color="auto"/>
              <w:left w:val="nil"/>
              <w:bottom w:val="single" w:sz="4" w:space="0" w:color="auto"/>
              <w:right w:val="nil"/>
            </w:tcBorders>
            <w:shd w:val="clear" w:color="auto" w:fill="auto"/>
            <w:noWrap/>
            <w:vAlign w:val="bottom"/>
            <w:hideMark/>
          </w:tcPr>
          <w:p w14:paraId="19163D0E"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PC2</w:t>
            </w:r>
          </w:p>
        </w:tc>
        <w:tc>
          <w:tcPr>
            <w:tcW w:w="580" w:type="pct"/>
            <w:tcBorders>
              <w:top w:val="single" w:sz="4" w:space="0" w:color="auto"/>
              <w:left w:val="nil"/>
              <w:bottom w:val="single" w:sz="4" w:space="0" w:color="auto"/>
              <w:right w:val="nil"/>
            </w:tcBorders>
            <w:shd w:val="clear" w:color="auto" w:fill="auto"/>
            <w:noWrap/>
            <w:vAlign w:val="bottom"/>
            <w:hideMark/>
          </w:tcPr>
          <w:p w14:paraId="0530FAD0"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PC3</w:t>
            </w:r>
          </w:p>
        </w:tc>
        <w:tc>
          <w:tcPr>
            <w:tcW w:w="580" w:type="pct"/>
            <w:tcBorders>
              <w:top w:val="single" w:sz="4" w:space="0" w:color="auto"/>
              <w:left w:val="nil"/>
              <w:bottom w:val="single" w:sz="4" w:space="0" w:color="auto"/>
              <w:right w:val="nil"/>
            </w:tcBorders>
            <w:shd w:val="clear" w:color="auto" w:fill="auto"/>
            <w:noWrap/>
            <w:vAlign w:val="bottom"/>
            <w:hideMark/>
          </w:tcPr>
          <w:p w14:paraId="43129DEF"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PC4</w:t>
            </w:r>
          </w:p>
        </w:tc>
        <w:tc>
          <w:tcPr>
            <w:tcW w:w="580" w:type="pct"/>
            <w:tcBorders>
              <w:top w:val="single" w:sz="4" w:space="0" w:color="auto"/>
              <w:left w:val="nil"/>
              <w:bottom w:val="single" w:sz="4" w:space="0" w:color="auto"/>
              <w:right w:val="nil"/>
            </w:tcBorders>
            <w:shd w:val="clear" w:color="auto" w:fill="auto"/>
            <w:noWrap/>
            <w:vAlign w:val="bottom"/>
            <w:hideMark/>
          </w:tcPr>
          <w:p w14:paraId="3C419F49"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PC5</w:t>
            </w:r>
          </w:p>
        </w:tc>
        <w:tc>
          <w:tcPr>
            <w:tcW w:w="580" w:type="pct"/>
            <w:tcBorders>
              <w:top w:val="single" w:sz="4" w:space="0" w:color="auto"/>
              <w:left w:val="nil"/>
              <w:bottom w:val="single" w:sz="4" w:space="0" w:color="auto"/>
              <w:right w:val="nil"/>
            </w:tcBorders>
            <w:shd w:val="clear" w:color="auto" w:fill="auto"/>
            <w:noWrap/>
            <w:vAlign w:val="bottom"/>
            <w:hideMark/>
          </w:tcPr>
          <w:p w14:paraId="3C88759B"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PC6</w:t>
            </w:r>
          </w:p>
        </w:tc>
        <w:tc>
          <w:tcPr>
            <w:tcW w:w="580" w:type="pct"/>
            <w:tcBorders>
              <w:top w:val="single" w:sz="4" w:space="0" w:color="auto"/>
              <w:left w:val="nil"/>
              <w:bottom w:val="single" w:sz="4" w:space="0" w:color="auto"/>
              <w:right w:val="nil"/>
            </w:tcBorders>
            <w:shd w:val="clear" w:color="auto" w:fill="auto"/>
            <w:noWrap/>
            <w:vAlign w:val="bottom"/>
            <w:hideMark/>
          </w:tcPr>
          <w:p w14:paraId="5A149D17"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PC7</w:t>
            </w:r>
          </w:p>
        </w:tc>
      </w:tr>
      <w:tr w:rsidR="00034A34" w:rsidRPr="009F0525" w14:paraId="4FE5931F" w14:textId="77777777" w:rsidTr="00A4068E">
        <w:trPr>
          <w:trHeight w:val="308"/>
          <w:jc w:val="center"/>
        </w:trPr>
        <w:tc>
          <w:tcPr>
            <w:tcW w:w="942" w:type="pct"/>
            <w:tcBorders>
              <w:top w:val="nil"/>
              <w:left w:val="nil"/>
              <w:bottom w:val="nil"/>
              <w:right w:val="nil"/>
            </w:tcBorders>
            <w:shd w:val="clear" w:color="auto" w:fill="auto"/>
            <w:noWrap/>
            <w:vAlign w:val="bottom"/>
            <w:hideMark/>
          </w:tcPr>
          <w:p w14:paraId="709C8E1E" w14:textId="77777777" w:rsidR="00034A34" w:rsidRPr="004D13B3" w:rsidRDefault="00034A34" w:rsidP="00A4068E">
            <w:pPr>
              <w:spacing w:after="0" w:line="240" w:lineRule="auto"/>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CRT</w:t>
            </w:r>
          </w:p>
        </w:tc>
        <w:tc>
          <w:tcPr>
            <w:tcW w:w="580" w:type="pct"/>
            <w:tcBorders>
              <w:top w:val="nil"/>
              <w:left w:val="nil"/>
              <w:bottom w:val="nil"/>
              <w:right w:val="nil"/>
            </w:tcBorders>
            <w:shd w:val="clear" w:color="auto" w:fill="auto"/>
            <w:noWrap/>
            <w:vAlign w:val="bottom"/>
            <w:hideMark/>
          </w:tcPr>
          <w:p w14:paraId="41050AD6" w14:textId="77777777" w:rsidR="00034A34" w:rsidRPr="009B58E7" w:rsidRDefault="00034A34" w:rsidP="00A4068E">
            <w:pPr>
              <w:spacing w:after="0" w:line="240" w:lineRule="auto"/>
              <w:jc w:val="center"/>
              <w:rPr>
                <w:rFonts w:ascii="Times New Roman" w:eastAsia="Times New Roman" w:hAnsi="Times New Roman"/>
                <w:b/>
                <w:color w:val="000000"/>
                <w:sz w:val="24"/>
                <w:szCs w:val="24"/>
              </w:rPr>
            </w:pPr>
            <w:r w:rsidRPr="009B58E7">
              <w:rPr>
                <w:rFonts w:ascii="Times New Roman" w:eastAsia="Times New Roman" w:hAnsi="Times New Roman"/>
                <w:b/>
                <w:color w:val="000000"/>
                <w:sz w:val="24"/>
                <w:szCs w:val="24"/>
              </w:rPr>
              <w:t>-0.47</w:t>
            </w:r>
          </w:p>
        </w:tc>
        <w:tc>
          <w:tcPr>
            <w:tcW w:w="580" w:type="pct"/>
            <w:tcBorders>
              <w:top w:val="nil"/>
              <w:left w:val="nil"/>
              <w:bottom w:val="nil"/>
              <w:right w:val="nil"/>
            </w:tcBorders>
            <w:shd w:val="clear" w:color="auto" w:fill="auto"/>
            <w:noWrap/>
            <w:vAlign w:val="bottom"/>
            <w:hideMark/>
          </w:tcPr>
          <w:p w14:paraId="797D89FB"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0.19</w:t>
            </w:r>
          </w:p>
        </w:tc>
        <w:tc>
          <w:tcPr>
            <w:tcW w:w="580" w:type="pct"/>
            <w:tcBorders>
              <w:top w:val="nil"/>
              <w:left w:val="nil"/>
              <w:bottom w:val="nil"/>
              <w:right w:val="nil"/>
            </w:tcBorders>
            <w:shd w:val="clear" w:color="auto" w:fill="auto"/>
            <w:noWrap/>
            <w:vAlign w:val="bottom"/>
            <w:hideMark/>
          </w:tcPr>
          <w:p w14:paraId="60236502"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-0.02</w:t>
            </w:r>
          </w:p>
        </w:tc>
        <w:tc>
          <w:tcPr>
            <w:tcW w:w="580" w:type="pct"/>
            <w:tcBorders>
              <w:top w:val="nil"/>
              <w:left w:val="nil"/>
              <w:bottom w:val="nil"/>
              <w:right w:val="nil"/>
            </w:tcBorders>
            <w:shd w:val="clear" w:color="auto" w:fill="auto"/>
            <w:noWrap/>
            <w:vAlign w:val="bottom"/>
            <w:hideMark/>
          </w:tcPr>
          <w:p w14:paraId="48E6DD43"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0.34</w:t>
            </w:r>
          </w:p>
        </w:tc>
        <w:tc>
          <w:tcPr>
            <w:tcW w:w="580" w:type="pct"/>
            <w:tcBorders>
              <w:top w:val="nil"/>
              <w:left w:val="nil"/>
              <w:bottom w:val="nil"/>
              <w:right w:val="nil"/>
            </w:tcBorders>
            <w:shd w:val="clear" w:color="auto" w:fill="auto"/>
            <w:noWrap/>
            <w:vAlign w:val="bottom"/>
            <w:hideMark/>
          </w:tcPr>
          <w:p w14:paraId="5BC31D84"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-0.03</w:t>
            </w:r>
          </w:p>
        </w:tc>
        <w:tc>
          <w:tcPr>
            <w:tcW w:w="580" w:type="pct"/>
            <w:tcBorders>
              <w:top w:val="nil"/>
              <w:left w:val="nil"/>
              <w:bottom w:val="nil"/>
              <w:right w:val="nil"/>
            </w:tcBorders>
            <w:shd w:val="clear" w:color="auto" w:fill="auto"/>
            <w:noWrap/>
            <w:vAlign w:val="bottom"/>
            <w:hideMark/>
          </w:tcPr>
          <w:p w14:paraId="67504A69"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-0.03</w:t>
            </w:r>
          </w:p>
        </w:tc>
        <w:tc>
          <w:tcPr>
            <w:tcW w:w="580" w:type="pct"/>
            <w:tcBorders>
              <w:top w:val="nil"/>
              <w:left w:val="nil"/>
              <w:bottom w:val="nil"/>
              <w:right w:val="nil"/>
            </w:tcBorders>
            <w:shd w:val="clear" w:color="auto" w:fill="auto"/>
            <w:noWrap/>
            <w:vAlign w:val="bottom"/>
            <w:hideMark/>
          </w:tcPr>
          <w:p w14:paraId="0E4388D9"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-0.79</w:t>
            </w:r>
          </w:p>
        </w:tc>
      </w:tr>
      <w:tr w:rsidR="00034A34" w:rsidRPr="009F0525" w14:paraId="16F4EFA8" w14:textId="77777777" w:rsidTr="00A4068E">
        <w:trPr>
          <w:trHeight w:val="308"/>
          <w:jc w:val="center"/>
        </w:trPr>
        <w:tc>
          <w:tcPr>
            <w:tcW w:w="942" w:type="pct"/>
            <w:tcBorders>
              <w:top w:val="nil"/>
              <w:left w:val="nil"/>
              <w:bottom w:val="nil"/>
              <w:right w:val="nil"/>
            </w:tcBorders>
            <w:shd w:val="clear" w:color="auto" w:fill="auto"/>
            <w:noWrap/>
            <w:vAlign w:val="bottom"/>
            <w:hideMark/>
          </w:tcPr>
          <w:p w14:paraId="3549DF22" w14:textId="77777777" w:rsidR="00034A34" w:rsidRPr="004D13B3" w:rsidRDefault="00034A34" w:rsidP="00A4068E">
            <w:pPr>
              <w:spacing w:after="0" w:line="240" w:lineRule="auto"/>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BN</w:t>
            </w:r>
          </w:p>
        </w:tc>
        <w:tc>
          <w:tcPr>
            <w:tcW w:w="580" w:type="pct"/>
            <w:tcBorders>
              <w:top w:val="nil"/>
              <w:left w:val="nil"/>
              <w:bottom w:val="nil"/>
              <w:right w:val="nil"/>
            </w:tcBorders>
            <w:shd w:val="clear" w:color="auto" w:fill="auto"/>
            <w:noWrap/>
            <w:vAlign w:val="bottom"/>
            <w:hideMark/>
          </w:tcPr>
          <w:p w14:paraId="6E01F124" w14:textId="77777777" w:rsidR="00034A34" w:rsidRPr="009B58E7" w:rsidRDefault="00034A34" w:rsidP="00A4068E">
            <w:pPr>
              <w:spacing w:after="0" w:line="240" w:lineRule="auto"/>
              <w:jc w:val="center"/>
              <w:rPr>
                <w:rFonts w:ascii="Times New Roman" w:eastAsia="Times New Roman" w:hAnsi="Times New Roman"/>
                <w:b/>
                <w:color w:val="000000"/>
                <w:sz w:val="24"/>
                <w:szCs w:val="24"/>
              </w:rPr>
            </w:pPr>
            <w:r w:rsidRPr="009B58E7">
              <w:rPr>
                <w:rFonts w:ascii="Times New Roman" w:eastAsia="Times New Roman" w:hAnsi="Times New Roman"/>
                <w:b/>
                <w:color w:val="000000"/>
                <w:sz w:val="24"/>
                <w:szCs w:val="24"/>
              </w:rPr>
              <w:t>-0.46</w:t>
            </w:r>
          </w:p>
        </w:tc>
        <w:tc>
          <w:tcPr>
            <w:tcW w:w="580" w:type="pct"/>
            <w:tcBorders>
              <w:top w:val="nil"/>
              <w:left w:val="nil"/>
              <w:bottom w:val="nil"/>
              <w:right w:val="nil"/>
            </w:tcBorders>
            <w:shd w:val="clear" w:color="auto" w:fill="auto"/>
            <w:noWrap/>
            <w:vAlign w:val="bottom"/>
            <w:hideMark/>
          </w:tcPr>
          <w:p w14:paraId="5B8CF174"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0.17</w:t>
            </w:r>
          </w:p>
        </w:tc>
        <w:tc>
          <w:tcPr>
            <w:tcW w:w="580" w:type="pct"/>
            <w:tcBorders>
              <w:top w:val="nil"/>
              <w:left w:val="nil"/>
              <w:bottom w:val="nil"/>
              <w:right w:val="nil"/>
            </w:tcBorders>
            <w:shd w:val="clear" w:color="auto" w:fill="auto"/>
            <w:noWrap/>
            <w:vAlign w:val="bottom"/>
            <w:hideMark/>
          </w:tcPr>
          <w:p w14:paraId="4917E740"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-0.02</w:t>
            </w:r>
          </w:p>
        </w:tc>
        <w:tc>
          <w:tcPr>
            <w:tcW w:w="580" w:type="pct"/>
            <w:tcBorders>
              <w:top w:val="nil"/>
              <w:left w:val="nil"/>
              <w:bottom w:val="nil"/>
              <w:right w:val="nil"/>
            </w:tcBorders>
            <w:shd w:val="clear" w:color="auto" w:fill="auto"/>
            <w:noWrap/>
            <w:vAlign w:val="bottom"/>
            <w:hideMark/>
          </w:tcPr>
          <w:p w14:paraId="350F629C"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0.33</w:t>
            </w:r>
          </w:p>
        </w:tc>
        <w:tc>
          <w:tcPr>
            <w:tcW w:w="580" w:type="pct"/>
            <w:tcBorders>
              <w:top w:val="nil"/>
              <w:left w:val="nil"/>
              <w:bottom w:val="nil"/>
              <w:right w:val="nil"/>
            </w:tcBorders>
            <w:shd w:val="clear" w:color="auto" w:fill="auto"/>
            <w:noWrap/>
            <w:vAlign w:val="bottom"/>
            <w:hideMark/>
          </w:tcPr>
          <w:p w14:paraId="2A46C4C7"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0.05</w:t>
            </w:r>
          </w:p>
        </w:tc>
        <w:tc>
          <w:tcPr>
            <w:tcW w:w="580" w:type="pct"/>
            <w:tcBorders>
              <w:top w:val="nil"/>
              <w:left w:val="nil"/>
              <w:bottom w:val="nil"/>
              <w:right w:val="nil"/>
            </w:tcBorders>
            <w:shd w:val="clear" w:color="auto" w:fill="auto"/>
            <w:noWrap/>
            <w:vAlign w:val="bottom"/>
            <w:hideMark/>
          </w:tcPr>
          <w:p w14:paraId="77F7D26B"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-0.65</w:t>
            </w:r>
          </w:p>
        </w:tc>
        <w:tc>
          <w:tcPr>
            <w:tcW w:w="580" w:type="pct"/>
            <w:tcBorders>
              <w:top w:val="nil"/>
              <w:left w:val="nil"/>
              <w:bottom w:val="nil"/>
              <w:right w:val="nil"/>
            </w:tcBorders>
            <w:shd w:val="clear" w:color="auto" w:fill="auto"/>
            <w:noWrap/>
            <w:vAlign w:val="bottom"/>
            <w:hideMark/>
          </w:tcPr>
          <w:p w14:paraId="795041B0"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0.48</w:t>
            </w:r>
          </w:p>
        </w:tc>
      </w:tr>
      <w:tr w:rsidR="00034A34" w:rsidRPr="009F0525" w14:paraId="7B686F79" w14:textId="77777777" w:rsidTr="00A4068E">
        <w:trPr>
          <w:trHeight w:val="308"/>
          <w:jc w:val="center"/>
        </w:trPr>
        <w:tc>
          <w:tcPr>
            <w:tcW w:w="942" w:type="pct"/>
            <w:tcBorders>
              <w:top w:val="nil"/>
              <w:left w:val="nil"/>
              <w:bottom w:val="nil"/>
              <w:right w:val="nil"/>
            </w:tcBorders>
            <w:shd w:val="clear" w:color="auto" w:fill="auto"/>
            <w:noWrap/>
            <w:vAlign w:val="bottom"/>
            <w:hideMark/>
          </w:tcPr>
          <w:p w14:paraId="4D9AB71A" w14:textId="77777777" w:rsidR="00034A34" w:rsidRPr="004D13B3" w:rsidRDefault="00034A34" w:rsidP="00A4068E">
            <w:pPr>
              <w:spacing w:after="0" w:line="240" w:lineRule="auto"/>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NS</w:t>
            </w:r>
          </w:p>
        </w:tc>
        <w:tc>
          <w:tcPr>
            <w:tcW w:w="580" w:type="pct"/>
            <w:tcBorders>
              <w:top w:val="nil"/>
              <w:left w:val="nil"/>
              <w:bottom w:val="nil"/>
              <w:right w:val="nil"/>
            </w:tcBorders>
            <w:shd w:val="clear" w:color="auto" w:fill="auto"/>
            <w:noWrap/>
            <w:vAlign w:val="bottom"/>
            <w:hideMark/>
          </w:tcPr>
          <w:p w14:paraId="436F4DB1" w14:textId="77777777" w:rsidR="00034A34" w:rsidRPr="009B58E7" w:rsidRDefault="00034A34" w:rsidP="00A4068E">
            <w:pPr>
              <w:spacing w:after="0" w:line="240" w:lineRule="auto"/>
              <w:jc w:val="center"/>
              <w:rPr>
                <w:rFonts w:ascii="Times New Roman" w:eastAsia="Times New Roman" w:hAnsi="Times New Roman"/>
                <w:b/>
                <w:color w:val="000000"/>
                <w:sz w:val="24"/>
                <w:szCs w:val="24"/>
              </w:rPr>
            </w:pPr>
            <w:r w:rsidRPr="009B58E7">
              <w:rPr>
                <w:rFonts w:ascii="Times New Roman" w:eastAsia="Times New Roman" w:hAnsi="Times New Roman"/>
                <w:b/>
                <w:color w:val="000000"/>
                <w:sz w:val="24"/>
                <w:szCs w:val="24"/>
              </w:rPr>
              <w:t>-0.45</w:t>
            </w:r>
          </w:p>
        </w:tc>
        <w:tc>
          <w:tcPr>
            <w:tcW w:w="580" w:type="pct"/>
            <w:tcBorders>
              <w:top w:val="nil"/>
              <w:left w:val="nil"/>
              <w:bottom w:val="nil"/>
              <w:right w:val="nil"/>
            </w:tcBorders>
            <w:shd w:val="clear" w:color="auto" w:fill="auto"/>
            <w:noWrap/>
            <w:vAlign w:val="bottom"/>
            <w:hideMark/>
          </w:tcPr>
          <w:p w14:paraId="200452B3"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0.29</w:t>
            </w:r>
          </w:p>
        </w:tc>
        <w:tc>
          <w:tcPr>
            <w:tcW w:w="580" w:type="pct"/>
            <w:tcBorders>
              <w:top w:val="nil"/>
              <w:left w:val="nil"/>
              <w:bottom w:val="nil"/>
              <w:right w:val="nil"/>
            </w:tcBorders>
            <w:shd w:val="clear" w:color="auto" w:fill="auto"/>
            <w:noWrap/>
            <w:vAlign w:val="bottom"/>
            <w:hideMark/>
          </w:tcPr>
          <w:p w14:paraId="60E556DF"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0.03</w:t>
            </w:r>
          </w:p>
        </w:tc>
        <w:tc>
          <w:tcPr>
            <w:tcW w:w="580" w:type="pct"/>
            <w:tcBorders>
              <w:top w:val="nil"/>
              <w:left w:val="nil"/>
              <w:bottom w:val="nil"/>
              <w:right w:val="nil"/>
            </w:tcBorders>
            <w:shd w:val="clear" w:color="auto" w:fill="auto"/>
            <w:noWrap/>
            <w:vAlign w:val="bottom"/>
            <w:hideMark/>
          </w:tcPr>
          <w:p w14:paraId="59428B8B"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0.14</w:t>
            </w:r>
          </w:p>
        </w:tc>
        <w:tc>
          <w:tcPr>
            <w:tcW w:w="580" w:type="pct"/>
            <w:tcBorders>
              <w:top w:val="nil"/>
              <w:left w:val="nil"/>
              <w:bottom w:val="nil"/>
              <w:right w:val="nil"/>
            </w:tcBorders>
            <w:shd w:val="clear" w:color="auto" w:fill="auto"/>
            <w:noWrap/>
            <w:vAlign w:val="bottom"/>
            <w:hideMark/>
          </w:tcPr>
          <w:p w14:paraId="68F027DD"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-0.16</w:t>
            </w:r>
          </w:p>
        </w:tc>
        <w:tc>
          <w:tcPr>
            <w:tcW w:w="580" w:type="pct"/>
            <w:tcBorders>
              <w:top w:val="nil"/>
              <w:left w:val="nil"/>
              <w:bottom w:val="nil"/>
              <w:right w:val="nil"/>
            </w:tcBorders>
            <w:shd w:val="clear" w:color="auto" w:fill="auto"/>
            <w:noWrap/>
            <w:vAlign w:val="bottom"/>
            <w:hideMark/>
          </w:tcPr>
          <w:p w14:paraId="6036375A"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0.73</w:t>
            </w:r>
          </w:p>
        </w:tc>
        <w:tc>
          <w:tcPr>
            <w:tcW w:w="580" w:type="pct"/>
            <w:tcBorders>
              <w:top w:val="nil"/>
              <w:left w:val="nil"/>
              <w:bottom w:val="nil"/>
              <w:right w:val="nil"/>
            </w:tcBorders>
            <w:shd w:val="clear" w:color="auto" w:fill="auto"/>
            <w:noWrap/>
            <w:vAlign w:val="bottom"/>
            <w:hideMark/>
          </w:tcPr>
          <w:p w14:paraId="1AF67162"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0.37</w:t>
            </w:r>
          </w:p>
        </w:tc>
      </w:tr>
      <w:tr w:rsidR="00034A34" w:rsidRPr="009F0525" w14:paraId="3C26F4D8" w14:textId="77777777" w:rsidTr="00A4068E">
        <w:trPr>
          <w:trHeight w:val="308"/>
          <w:jc w:val="center"/>
        </w:trPr>
        <w:tc>
          <w:tcPr>
            <w:tcW w:w="942" w:type="pct"/>
            <w:tcBorders>
              <w:top w:val="nil"/>
              <w:left w:val="nil"/>
              <w:bottom w:val="nil"/>
              <w:right w:val="nil"/>
            </w:tcBorders>
            <w:shd w:val="clear" w:color="auto" w:fill="auto"/>
            <w:noWrap/>
            <w:vAlign w:val="bottom"/>
            <w:hideMark/>
          </w:tcPr>
          <w:p w14:paraId="708981F8" w14:textId="77777777" w:rsidR="00034A34" w:rsidRPr="004D13B3" w:rsidRDefault="00034A34" w:rsidP="00A4068E">
            <w:pPr>
              <w:spacing w:after="0" w:line="240" w:lineRule="auto"/>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Matrix</w:t>
            </w:r>
          </w:p>
        </w:tc>
        <w:tc>
          <w:tcPr>
            <w:tcW w:w="580" w:type="pct"/>
            <w:tcBorders>
              <w:top w:val="nil"/>
              <w:left w:val="nil"/>
              <w:bottom w:val="nil"/>
              <w:right w:val="nil"/>
            </w:tcBorders>
            <w:shd w:val="clear" w:color="auto" w:fill="auto"/>
            <w:noWrap/>
            <w:vAlign w:val="bottom"/>
            <w:hideMark/>
          </w:tcPr>
          <w:p w14:paraId="664C0199" w14:textId="77777777" w:rsidR="00034A34" w:rsidRPr="009B58E7" w:rsidRDefault="00034A34" w:rsidP="00A4068E">
            <w:pPr>
              <w:spacing w:after="0" w:line="240" w:lineRule="auto"/>
              <w:jc w:val="center"/>
              <w:rPr>
                <w:rFonts w:ascii="Times New Roman" w:eastAsia="Times New Roman" w:hAnsi="Times New Roman"/>
                <w:b/>
                <w:color w:val="000000"/>
                <w:sz w:val="24"/>
                <w:szCs w:val="24"/>
              </w:rPr>
            </w:pPr>
            <w:r w:rsidRPr="009B58E7">
              <w:rPr>
                <w:rFonts w:ascii="Times New Roman" w:eastAsia="Times New Roman" w:hAnsi="Times New Roman"/>
                <w:b/>
                <w:color w:val="000000"/>
                <w:sz w:val="24"/>
                <w:szCs w:val="24"/>
              </w:rPr>
              <w:t>-0.37</w:t>
            </w:r>
          </w:p>
        </w:tc>
        <w:tc>
          <w:tcPr>
            <w:tcW w:w="580" w:type="pct"/>
            <w:tcBorders>
              <w:top w:val="nil"/>
              <w:left w:val="nil"/>
              <w:bottom w:val="nil"/>
              <w:right w:val="nil"/>
            </w:tcBorders>
            <w:shd w:val="clear" w:color="auto" w:fill="auto"/>
            <w:noWrap/>
            <w:vAlign w:val="bottom"/>
            <w:hideMark/>
          </w:tcPr>
          <w:p w14:paraId="0CE64A30"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0.29</w:t>
            </w:r>
          </w:p>
        </w:tc>
        <w:tc>
          <w:tcPr>
            <w:tcW w:w="580" w:type="pct"/>
            <w:tcBorders>
              <w:top w:val="nil"/>
              <w:left w:val="nil"/>
              <w:bottom w:val="nil"/>
              <w:right w:val="nil"/>
            </w:tcBorders>
            <w:shd w:val="clear" w:color="auto" w:fill="auto"/>
            <w:noWrap/>
            <w:vAlign w:val="bottom"/>
            <w:hideMark/>
          </w:tcPr>
          <w:p w14:paraId="79B8D3B9"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0.18</w:t>
            </w:r>
          </w:p>
        </w:tc>
        <w:tc>
          <w:tcPr>
            <w:tcW w:w="580" w:type="pct"/>
            <w:tcBorders>
              <w:top w:val="nil"/>
              <w:left w:val="nil"/>
              <w:bottom w:val="nil"/>
              <w:right w:val="nil"/>
            </w:tcBorders>
            <w:shd w:val="clear" w:color="auto" w:fill="auto"/>
            <w:noWrap/>
            <w:vAlign w:val="bottom"/>
            <w:hideMark/>
          </w:tcPr>
          <w:p w14:paraId="429F5A91"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-0.85</w:t>
            </w:r>
          </w:p>
        </w:tc>
        <w:tc>
          <w:tcPr>
            <w:tcW w:w="580" w:type="pct"/>
            <w:tcBorders>
              <w:top w:val="nil"/>
              <w:left w:val="nil"/>
              <w:bottom w:val="nil"/>
              <w:right w:val="nil"/>
            </w:tcBorders>
            <w:shd w:val="clear" w:color="auto" w:fill="auto"/>
            <w:noWrap/>
            <w:vAlign w:val="bottom"/>
            <w:hideMark/>
          </w:tcPr>
          <w:p w14:paraId="766237FA"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0.02</w:t>
            </w:r>
          </w:p>
        </w:tc>
        <w:tc>
          <w:tcPr>
            <w:tcW w:w="580" w:type="pct"/>
            <w:tcBorders>
              <w:top w:val="nil"/>
              <w:left w:val="nil"/>
              <w:bottom w:val="nil"/>
              <w:right w:val="nil"/>
            </w:tcBorders>
            <w:shd w:val="clear" w:color="auto" w:fill="auto"/>
            <w:noWrap/>
            <w:vAlign w:val="bottom"/>
            <w:hideMark/>
          </w:tcPr>
          <w:p w14:paraId="310A60B7"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-0.15</w:t>
            </w:r>
          </w:p>
        </w:tc>
        <w:tc>
          <w:tcPr>
            <w:tcW w:w="580" w:type="pct"/>
            <w:tcBorders>
              <w:top w:val="nil"/>
              <w:left w:val="nil"/>
              <w:bottom w:val="nil"/>
              <w:right w:val="nil"/>
            </w:tcBorders>
            <w:shd w:val="clear" w:color="auto" w:fill="auto"/>
            <w:noWrap/>
            <w:vAlign w:val="bottom"/>
            <w:hideMark/>
          </w:tcPr>
          <w:p w14:paraId="762D1FB9"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-0.07</w:t>
            </w:r>
          </w:p>
        </w:tc>
      </w:tr>
      <w:tr w:rsidR="00034A34" w:rsidRPr="009F0525" w14:paraId="49975BBA" w14:textId="77777777" w:rsidTr="00A4068E">
        <w:trPr>
          <w:trHeight w:val="308"/>
          <w:jc w:val="center"/>
        </w:trPr>
        <w:tc>
          <w:tcPr>
            <w:tcW w:w="942" w:type="pct"/>
            <w:tcBorders>
              <w:top w:val="nil"/>
              <w:left w:val="nil"/>
              <w:bottom w:val="nil"/>
              <w:right w:val="nil"/>
            </w:tcBorders>
            <w:shd w:val="clear" w:color="auto" w:fill="auto"/>
            <w:noWrap/>
            <w:vAlign w:val="bottom"/>
            <w:hideMark/>
          </w:tcPr>
          <w:p w14:paraId="3D8BC707" w14:textId="77777777" w:rsidR="00034A34" w:rsidRPr="004D13B3" w:rsidRDefault="00034A34" w:rsidP="00A4068E">
            <w:pPr>
              <w:spacing w:after="0" w:line="240" w:lineRule="auto"/>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AOMT</w:t>
            </w:r>
          </w:p>
        </w:tc>
        <w:tc>
          <w:tcPr>
            <w:tcW w:w="580" w:type="pct"/>
            <w:tcBorders>
              <w:top w:val="nil"/>
              <w:left w:val="nil"/>
              <w:bottom w:val="nil"/>
              <w:right w:val="nil"/>
            </w:tcBorders>
            <w:shd w:val="clear" w:color="auto" w:fill="auto"/>
            <w:noWrap/>
            <w:vAlign w:val="bottom"/>
            <w:hideMark/>
          </w:tcPr>
          <w:p w14:paraId="365F391A"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-0.33</w:t>
            </w:r>
          </w:p>
        </w:tc>
        <w:tc>
          <w:tcPr>
            <w:tcW w:w="580" w:type="pct"/>
            <w:tcBorders>
              <w:top w:val="nil"/>
              <w:left w:val="nil"/>
              <w:bottom w:val="nil"/>
              <w:right w:val="nil"/>
            </w:tcBorders>
            <w:shd w:val="clear" w:color="auto" w:fill="auto"/>
            <w:noWrap/>
            <w:vAlign w:val="bottom"/>
            <w:hideMark/>
          </w:tcPr>
          <w:p w14:paraId="7E1E60F3" w14:textId="77777777" w:rsidR="00034A34" w:rsidRPr="009B58E7" w:rsidRDefault="00034A34" w:rsidP="00A4068E">
            <w:pPr>
              <w:spacing w:after="0" w:line="240" w:lineRule="auto"/>
              <w:jc w:val="center"/>
              <w:rPr>
                <w:rFonts w:ascii="Times New Roman" w:eastAsia="Times New Roman" w:hAnsi="Times New Roman"/>
                <w:b/>
                <w:color w:val="000000"/>
                <w:sz w:val="24"/>
                <w:szCs w:val="24"/>
              </w:rPr>
            </w:pPr>
            <w:r w:rsidRPr="009B58E7">
              <w:rPr>
                <w:rFonts w:ascii="Times New Roman" w:eastAsia="Times New Roman" w:hAnsi="Times New Roman"/>
                <w:b/>
                <w:color w:val="000000"/>
                <w:sz w:val="24"/>
                <w:szCs w:val="24"/>
              </w:rPr>
              <w:t>-0.53</w:t>
            </w:r>
          </w:p>
        </w:tc>
        <w:tc>
          <w:tcPr>
            <w:tcW w:w="580" w:type="pct"/>
            <w:tcBorders>
              <w:top w:val="nil"/>
              <w:left w:val="nil"/>
              <w:bottom w:val="nil"/>
              <w:right w:val="nil"/>
            </w:tcBorders>
            <w:shd w:val="clear" w:color="auto" w:fill="auto"/>
            <w:noWrap/>
            <w:vAlign w:val="bottom"/>
            <w:hideMark/>
          </w:tcPr>
          <w:p w14:paraId="6E7A478E"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0.19</w:t>
            </w:r>
          </w:p>
        </w:tc>
        <w:tc>
          <w:tcPr>
            <w:tcW w:w="580" w:type="pct"/>
            <w:tcBorders>
              <w:top w:val="nil"/>
              <w:left w:val="nil"/>
              <w:bottom w:val="nil"/>
              <w:right w:val="nil"/>
            </w:tcBorders>
            <w:shd w:val="clear" w:color="auto" w:fill="auto"/>
            <w:noWrap/>
            <w:vAlign w:val="bottom"/>
            <w:hideMark/>
          </w:tcPr>
          <w:p w14:paraId="64180766"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-0.01</w:t>
            </w:r>
          </w:p>
        </w:tc>
        <w:tc>
          <w:tcPr>
            <w:tcW w:w="580" w:type="pct"/>
            <w:tcBorders>
              <w:top w:val="nil"/>
              <w:left w:val="nil"/>
              <w:bottom w:val="nil"/>
              <w:right w:val="nil"/>
            </w:tcBorders>
            <w:shd w:val="clear" w:color="auto" w:fill="auto"/>
            <w:noWrap/>
            <w:vAlign w:val="bottom"/>
            <w:hideMark/>
          </w:tcPr>
          <w:p w14:paraId="08E0B4CA"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0.74</w:t>
            </w:r>
          </w:p>
        </w:tc>
        <w:tc>
          <w:tcPr>
            <w:tcW w:w="580" w:type="pct"/>
            <w:tcBorders>
              <w:top w:val="nil"/>
              <w:left w:val="nil"/>
              <w:bottom w:val="nil"/>
              <w:right w:val="nil"/>
            </w:tcBorders>
            <w:shd w:val="clear" w:color="auto" w:fill="auto"/>
            <w:noWrap/>
            <w:vAlign w:val="bottom"/>
            <w:hideMark/>
          </w:tcPr>
          <w:p w14:paraId="2F846FF7"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0.15</w:t>
            </w:r>
          </w:p>
        </w:tc>
        <w:tc>
          <w:tcPr>
            <w:tcW w:w="580" w:type="pct"/>
            <w:tcBorders>
              <w:top w:val="nil"/>
              <w:left w:val="nil"/>
              <w:bottom w:val="nil"/>
              <w:right w:val="nil"/>
            </w:tcBorders>
            <w:shd w:val="clear" w:color="auto" w:fill="auto"/>
            <w:noWrap/>
            <w:vAlign w:val="bottom"/>
            <w:hideMark/>
          </w:tcPr>
          <w:p w14:paraId="06C8349F"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0.02</w:t>
            </w:r>
          </w:p>
        </w:tc>
      </w:tr>
      <w:tr w:rsidR="00034A34" w:rsidRPr="009F0525" w14:paraId="1D6D612E" w14:textId="77777777" w:rsidTr="00A4068E">
        <w:trPr>
          <w:trHeight w:val="308"/>
          <w:jc w:val="center"/>
        </w:trPr>
        <w:tc>
          <w:tcPr>
            <w:tcW w:w="942" w:type="pct"/>
            <w:tcBorders>
              <w:top w:val="nil"/>
              <w:left w:val="nil"/>
              <w:bottom w:val="nil"/>
              <w:right w:val="nil"/>
            </w:tcBorders>
            <w:shd w:val="clear" w:color="auto" w:fill="auto"/>
            <w:noWrap/>
            <w:vAlign w:val="bottom"/>
            <w:hideMark/>
          </w:tcPr>
          <w:p w14:paraId="4EA6CF9A" w14:textId="77777777" w:rsidR="00034A34" w:rsidRPr="004D13B3" w:rsidRDefault="00034A34" w:rsidP="00A4068E">
            <w:pPr>
              <w:spacing w:after="0" w:line="240" w:lineRule="auto"/>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NFC</w:t>
            </w:r>
          </w:p>
        </w:tc>
        <w:tc>
          <w:tcPr>
            <w:tcW w:w="580" w:type="pct"/>
            <w:tcBorders>
              <w:top w:val="nil"/>
              <w:left w:val="nil"/>
              <w:bottom w:val="nil"/>
              <w:right w:val="nil"/>
            </w:tcBorders>
            <w:shd w:val="clear" w:color="auto" w:fill="auto"/>
            <w:noWrap/>
            <w:vAlign w:val="bottom"/>
            <w:hideMark/>
          </w:tcPr>
          <w:p w14:paraId="70772966"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-0.26</w:t>
            </w:r>
          </w:p>
        </w:tc>
        <w:tc>
          <w:tcPr>
            <w:tcW w:w="580" w:type="pct"/>
            <w:tcBorders>
              <w:top w:val="nil"/>
              <w:left w:val="nil"/>
              <w:bottom w:val="nil"/>
              <w:right w:val="nil"/>
            </w:tcBorders>
            <w:shd w:val="clear" w:color="auto" w:fill="auto"/>
            <w:noWrap/>
            <w:vAlign w:val="bottom"/>
            <w:hideMark/>
          </w:tcPr>
          <w:p w14:paraId="267C21D2" w14:textId="77777777" w:rsidR="00034A34" w:rsidRPr="009B58E7" w:rsidRDefault="00034A34" w:rsidP="00A4068E">
            <w:pPr>
              <w:spacing w:after="0" w:line="240" w:lineRule="auto"/>
              <w:jc w:val="center"/>
              <w:rPr>
                <w:rFonts w:ascii="Times New Roman" w:eastAsia="Times New Roman" w:hAnsi="Times New Roman"/>
                <w:b/>
                <w:color w:val="000000"/>
                <w:sz w:val="24"/>
                <w:szCs w:val="24"/>
              </w:rPr>
            </w:pPr>
            <w:r w:rsidRPr="009B58E7">
              <w:rPr>
                <w:rFonts w:ascii="Times New Roman" w:eastAsia="Times New Roman" w:hAnsi="Times New Roman"/>
                <w:b/>
                <w:color w:val="000000"/>
                <w:sz w:val="24"/>
                <w:szCs w:val="24"/>
              </w:rPr>
              <w:t>-0.63</w:t>
            </w:r>
          </w:p>
        </w:tc>
        <w:tc>
          <w:tcPr>
            <w:tcW w:w="580" w:type="pct"/>
            <w:tcBorders>
              <w:top w:val="nil"/>
              <w:left w:val="nil"/>
              <w:bottom w:val="nil"/>
              <w:right w:val="nil"/>
            </w:tcBorders>
            <w:shd w:val="clear" w:color="auto" w:fill="auto"/>
            <w:noWrap/>
            <w:vAlign w:val="bottom"/>
            <w:hideMark/>
          </w:tcPr>
          <w:p w14:paraId="032A4132"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0.32</w:t>
            </w:r>
          </w:p>
        </w:tc>
        <w:tc>
          <w:tcPr>
            <w:tcW w:w="580" w:type="pct"/>
            <w:tcBorders>
              <w:top w:val="nil"/>
              <w:left w:val="nil"/>
              <w:bottom w:val="nil"/>
              <w:right w:val="nil"/>
            </w:tcBorders>
            <w:shd w:val="clear" w:color="auto" w:fill="auto"/>
            <w:noWrap/>
            <w:vAlign w:val="bottom"/>
            <w:hideMark/>
          </w:tcPr>
          <w:p w14:paraId="0713CEB8"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-0.04</w:t>
            </w:r>
          </w:p>
        </w:tc>
        <w:tc>
          <w:tcPr>
            <w:tcW w:w="580" w:type="pct"/>
            <w:tcBorders>
              <w:top w:val="nil"/>
              <w:left w:val="nil"/>
              <w:bottom w:val="nil"/>
              <w:right w:val="nil"/>
            </w:tcBorders>
            <w:shd w:val="clear" w:color="auto" w:fill="auto"/>
            <w:noWrap/>
            <w:vAlign w:val="bottom"/>
            <w:hideMark/>
          </w:tcPr>
          <w:p w14:paraId="1DEE1B20"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-0.65</w:t>
            </w:r>
          </w:p>
        </w:tc>
        <w:tc>
          <w:tcPr>
            <w:tcW w:w="580" w:type="pct"/>
            <w:tcBorders>
              <w:top w:val="nil"/>
              <w:left w:val="nil"/>
              <w:bottom w:val="nil"/>
              <w:right w:val="nil"/>
            </w:tcBorders>
            <w:shd w:val="clear" w:color="auto" w:fill="auto"/>
            <w:noWrap/>
            <w:vAlign w:val="bottom"/>
            <w:hideMark/>
          </w:tcPr>
          <w:p w14:paraId="52936086"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-0.06</w:t>
            </w:r>
          </w:p>
        </w:tc>
        <w:tc>
          <w:tcPr>
            <w:tcW w:w="580" w:type="pct"/>
            <w:tcBorders>
              <w:top w:val="nil"/>
              <w:left w:val="nil"/>
              <w:bottom w:val="nil"/>
              <w:right w:val="nil"/>
            </w:tcBorders>
            <w:shd w:val="clear" w:color="auto" w:fill="auto"/>
            <w:noWrap/>
            <w:vAlign w:val="bottom"/>
            <w:hideMark/>
          </w:tcPr>
          <w:p w14:paraId="7AEAD153"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0.01</w:t>
            </w:r>
          </w:p>
        </w:tc>
      </w:tr>
      <w:tr w:rsidR="00034A34" w:rsidRPr="009F0525" w14:paraId="782C593B" w14:textId="77777777" w:rsidTr="00A4068E">
        <w:trPr>
          <w:trHeight w:val="308"/>
          <w:jc w:val="center"/>
        </w:trPr>
        <w:tc>
          <w:tcPr>
            <w:tcW w:w="942" w:type="pct"/>
            <w:tcBorders>
              <w:top w:val="nil"/>
              <w:left w:val="nil"/>
              <w:bottom w:val="single" w:sz="4" w:space="0" w:color="auto"/>
              <w:right w:val="nil"/>
            </w:tcBorders>
            <w:shd w:val="clear" w:color="auto" w:fill="auto"/>
            <w:noWrap/>
            <w:vAlign w:val="bottom"/>
            <w:hideMark/>
          </w:tcPr>
          <w:p w14:paraId="0835D74A" w14:textId="77777777" w:rsidR="00034A34" w:rsidRPr="004D13B3" w:rsidRDefault="00034A34" w:rsidP="00A4068E">
            <w:pPr>
              <w:spacing w:after="0" w:line="240" w:lineRule="auto"/>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PK</w:t>
            </w:r>
          </w:p>
        </w:tc>
        <w:tc>
          <w:tcPr>
            <w:tcW w:w="580" w:type="pct"/>
            <w:tcBorders>
              <w:top w:val="nil"/>
              <w:left w:val="nil"/>
              <w:bottom w:val="single" w:sz="4" w:space="0" w:color="auto"/>
              <w:right w:val="nil"/>
            </w:tcBorders>
            <w:shd w:val="clear" w:color="auto" w:fill="auto"/>
            <w:noWrap/>
            <w:vAlign w:val="bottom"/>
            <w:hideMark/>
          </w:tcPr>
          <w:p w14:paraId="1490E07E"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-0.23</w:t>
            </w:r>
          </w:p>
        </w:tc>
        <w:tc>
          <w:tcPr>
            <w:tcW w:w="580" w:type="pct"/>
            <w:tcBorders>
              <w:top w:val="nil"/>
              <w:left w:val="nil"/>
              <w:bottom w:val="single" w:sz="4" w:space="0" w:color="auto"/>
              <w:right w:val="nil"/>
            </w:tcBorders>
            <w:shd w:val="clear" w:color="auto" w:fill="auto"/>
            <w:noWrap/>
            <w:vAlign w:val="bottom"/>
            <w:hideMark/>
          </w:tcPr>
          <w:p w14:paraId="1500F481"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-0.28</w:t>
            </w:r>
          </w:p>
        </w:tc>
        <w:tc>
          <w:tcPr>
            <w:tcW w:w="580" w:type="pct"/>
            <w:tcBorders>
              <w:top w:val="nil"/>
              <w:left w:val="nil"/>
              <w:bottom w:val="single" w:sz="4" w:space="0" w:color="auto"/>
              <w:right w:val="nil"/>
            </w:tcBorders>
            <w:shd w:val="clear" w:color="auto" w:fill="auto"/>
            <w:noWrap/>
            <w:vAlign w:val="bottom"/>
            <w:hideMark/>
          </w:tcPr>
          <w:p w14:paraId="60B0AB37" w14:textId="77777777" w:rsidR="00034A34" w:rsidRPr="009B58E7" w:rsidRDefault="00034A34" w:rsidP="00A4068E">
            <w:pPr>
              <w:spacing w:after="0" w:line="240" w:lineRule="auto"/>
              <w:jc w:val="center"/>
              <w:rPr>
                <w:rFonts w:ascii="Times New Roman" w:eastAsia="Times New Roman" w:hAnsi="Times New Roman"/>
                <w:b/>
                <w:color w:val="000000"/>
                <w:sz w:val="24"/>
                <w:szCs w:val="24"/>
              </w:rPr>
            </w:pPr>
            <w:r w:rsidRPr="009B58E7">
              <w:rPr>
                <w:rFonts w:ascii="Times New Roman" w:eastAsia="Times New Roman" w:hAnsi="Times New Roman"/>
                <w:b/>
                <w:color w:val="000000"/>
                <w:sz w:val="24"/>
                <w:szCs w:val="24"/>
              </w:rPr>
              <w:t>-0.91</w:t>
            </w:r>
          </w:p>
        </w:tc>
        <w:tc>
          <w:tcPr>
            <w:tcW w:w="580" w:type="pct"/>
            <w:tcBorders>
              <w:top w:val="nil"/>
              <w:left w:val="nil"/>
              <w:bottom w:val="single" w:sz="4" w:space="0" w:color="auto"/>
              <w:right w:val="nil"/>
            </w:tcBorders>
            <w:shd w:val="clear" w:color="auto" w:fill="auto"/>
            <w:noWrap/>
            <w:vAlign w:val="bottom"/>
            <w:hideMark/>
          </w:tcPr>
          <w:p w14:paraId="74A53937"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-0.19</w:t>
            </w:r>
          </w:p>
        </w:tc>
        <w:tc>
          <w:tcPr>
            <w:tcW w:w="580" w:type="pct"/>
            <w:tcBorders>
              <w:top w:val="nil"/>
              <w:left w:val="nil"/>
              <w:bottom w:val="single" w:sz="4" w:space="0" w:color="auto"/>
              <w:right w:val="nil"/>
            </w:tcBorders>
            <w:shd w:val="clear" w:color="auto" w:fill="auto"/>
            <w:noWrap/>
            <w:vAlign w:val="bottom"/>
            <w:hideMark/>
          </w:tcPr>
          <w:p w14:paraId="0190E3D4"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-0.08</w:t>
            </w:r>
          </w:p>
        </w:tc>
        <w:tc>
          <w:tcPr>
            <w:tcW w:w="580" w:type="pct"/>
            <w:tcBorders>
              <w:top w:val="nil"/>
              <w:left w:val="nil"/>
              <w:bottom w:val="single" w:sz="4" w:space="0" w:color="auto"/>
              <w:right w:val="nil"/>
            </w:tcBorders>
            <w:shd w:val="clear" w:color="auto" w:fill="auto"/>
            <w:noWrap/>
            <w:vAlign w:val="bottom"/>
            <w:hideMark/>
          </w:tcPr>
          <w:p w14:paraId="2E80DE69"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0.03</w:t>
            </w:r>
          </w:p>
        </w:tc>
        <w:tc>
          <w:tcPr>
            <w:tcW w:w="580" w:type="pct"/>
            <w:tcBorders>
              <w:top w:val="nil"/>
              <w:left w:val="nil"/>
              <w:bottom w:val="single" w:sz="4" w:space="0" w:color="auto"/>
              <w:right w:val="nil"/>
            </w:tcBorders>
            <w:shd w:val="clear" w:color="auto" w:fill="auto"/>
            <w:noWrap/>
            <w:vAlign w:val="bottom"/>
            <w:hideMark/>
          </w:tcPr>
          <w:p w14:paraId="20E123EF"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0.01</w:t>
            </w:r>
          </w:p>
        </w:tc>
      </w:tr>
      <w:tr w:rsidR="00034A34" w:rsidRPr="009F0525" w14:paraId="65056FA9" w14:textId="77777777" w:rsidTr="00A4068E">
        <w:trPr>
          <w:trHeight w:val="308"/>
          <w:jc w:val="center"/>
        </w:trPr>
        <w:tc>
          <w:tcPr>
            <w:tcW w:w="942" w:type="pct"/>
            <w:tcBorders>
              <w:top w:val="nil"/>
              <w:left w:val="nil"/>
              <w:bottom w:val="nil"/>
              <w:right w:val="nil"/>
            </w:tcBorders>
            <w:shd w:val="clear" w:color="auto" w:fill="auto"/>
            <w:noWrap/>
            <w:vAlign w:val="bottom"/>
            <w:hideMark/>
          </w:tcPr>
          <w:p w14:paraId="586826FA" w14:textId="77777777" w:rsidR="00034A34" w:rsidRPr="004D13B3" w:rsidRDefault="00034A34" w:rsidP="00A4068E">
            <w:pPr>
              <w:spacing w:after="0" w:line="240" w:lineRule="auto"/>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Prop. Var</w:t>
            </w:r>
          </w:p>
        </w:tc>
        <w:tc>
          <w:tcPr>
            <w:tcW w:w="580" w:type="pct"/>
            <w:tcBorders>
              <w:top w:val="nil"/>
              <w:left w:val="nil"/>
              <w:bottom w:val="nil"/>
              <w:right w:val="nil"/>
            </w:tcBorders>
            <w:shd w:val="clear" w:color="auto" w:fill="auto"/>
            <w:noWrap/>
            <w:vAlign w:val="bottom"/>
            <w:hideMark/>
          </w:tcPr>
          <w:p w14:paraId="2EAC34B1"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0.41</w:t>
            </w:r>
          </w:p>
        </w:tc>
        <w:tc>
          <w:tcPr>
            <w:tcW w:w="580" w:type="pct"/>
            <w:tcBorders>
              <w:top w:val="nil"/>
              <w:left w:val="nil"/>
              <w:bottom w:val="nil"/>
              <w:right w:val="nil"/>
            </w:tcBorders>
            <w:shd w:val="clear" w:color="auto" w:fill="auto"/>
            <w:noWrap/>
            <w:vAlign w:val="bottom"/>
            <w:hideMark/>
          </w:tcPr>
          <w:p w14:paraId="1F6E250C"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0.17</w:t>
            </w:r>
          </w:p>
        </w:tc>
        <w:tc>
          <w:tcPr>
            <w:tcW w:w="580" w:type="pct"/>
            <w:tcBorders>
              <w:top w:val="nil"/>
              <w:left w:val="nil"/>
              <w:bottom w:val="nil"/>
              <w:right w:val="nil"/>
            </w:tcBorders>
            <w:shd w:val="clear" w:color="auto" w:fill="auto"/>
            <w:noWrap/>
            <w:vAlign w:val="bottom"/>
            <w:hideMark/>
          </w:tcPr>
          <w:p w14:paraId="5F90006B"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0.13</w:t>
            </w:r>
          </w:p>
        </w:tc>
        <w:tc>
          <w:tcPr>
            <w:tcW w:w="580" w:type="pct"/>
            <w:tcBorders>
              <w:top w:val="nil"/>
              <w:left w:val="nil"/>
              <w:bottom w:val="nil"/>
              <w:right w:val="nil"/>
            </w:tcBorders>
            <w:shd w:val="clear" w:color="auto" w:fill="auto"/>
            <w:noWrap/>
            <w:vAlign w:val="bottom"/>
            <w:hideMark/>
          </w:tcPr>
          <w:p w14:paraId="326CF884"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0.09</w:t>
            </w:r>
          </w:p>
        </w:tc>
        <w:tc>
          <w:tcPr>
            <w:tcW w:w="580" w:type="pct"/>
            <w:tcBorders>
              <w:top w:val="nil"/>
              <w:left w:val="nil"/>
              <w:bottom w:val="nil"/>
              <w:right w:val="nil"/>
            </w:tcBorders>
            <w:shd w:val="clear" w:color="auto" w:fill="auto"/>
            <w:noWrap/>
            <w:vAlign w:val="bottom"/>
            <w:hideMark/>
          </w:tcPr>
          <w:p w14:paraId="1986AC28"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0.08</w:t>
            </w:r>
          </w:p>
        </w:tc>
        <w:tc>
          <w:tcPr>
            <w:tcW w:w="580" w:type="pct"/>
            <w:tcBorders>
              <w:top w:val="nil"/>
              <w:left w:val="nil"/>
              <w:bottom w:val="nil"/>
              <w:right w:val="nil"/>
            </w:tcBorders>
            <w:shd w:val="clear" w:color="auto" w:fill="auto"/>
            <w:noWrap/>
            <w:vAlign w:val="bottom"/>
            <w:hideMark/>
          </w:tcPr>
          <w:p w14:paraId="5E8749F4"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0.06</w:t>
            </w:r>
          </w:p>
        </w:tc>
        <w:tc>
          <w:tcPr>
            <w:tcW w:w="580" w:type="pct"/>
            <w:tcBorders>
              <w:top w:val="nil"/>
              <w:left w:val="nil"/>
              <w:bottom w:val="nil"/>
              <w:right w:val="nil"/>
            </w:tcBorders>
            <w:shd w:val="clear" w:color="auto" w:fill="auto"/>
            <w:noWrap/>
            <w:vAlign w:val="bottom"/>
            <w:hideMark/>
          </w:tcPr>
          <w:p w14:paraId="072D042A"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0.06</w:t>
            </w:r>
          </w:p>
        </w:tc>
      </w:tr>
      <w:tr w:rsidR="00034A34" w:rsidRPr="009F0525" w14:paraId="5A39B347" w14:textId="77777777" w:rsidTr="00A4068E">
        <w:trPr>
          <w:trHeight w:val="308"/>
          <w:jc w:val="center"/>
        </w:trPr>
        <w:tc>
          <w:tcPr>
            <w:tcW w:w="942" w:type="pct"/>
            <w:tcBorders>
              <w:top w:val="nil"/>
              <w:left w:val="nil"/>
              <w:bottom w:val="single" w:sz="4" w:space="0" w:color="auto"/>
              <w:right w:val="nil"/>
            </w:tcBorders>
            <w:shd w:val="clear" w:color="auto" w:fill="auto"/>
            <w:noWrap/>
            <w:vAlign w:val="bottom"/>
            <w:hideMark/>
          </w:tcPr>
          <w:p w14:paraId="1C998D46" w14:textId="77777777" w:rsidR="00034A34" w:rsidRPr="004D13B3" w:rsidRDefault="00034A34" w:rsidP="00A4068E">
            <w:pPr>
              <w:spacing w:after="0" w:line="240" w:lineRule="auto"/>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Cum. Var</w:t>
            </w:r>
          </w:p>
        </w:tc>
        <w:tc>
          <w:tcPr>
            <w:tcW w:w="580" w:type="pct"/>
            <w:tcBorders>
              <w:top w:val="nil"/>
              <w:left w:val="nil"/>
              <w:bottom w:val="single" w:sz="4" w:space="0" w:color="auto"/>
              <w:right w:val="nil"/>
            </w:tcBorders>
            <w:shd w:val="clear" w:color="auto" w:fill="auto"/>
            <w:noWrap/>
            <w:vAlign w:val="bottom"/>
            <w:hideMark/>
          </w:tcPr>
          <w:p w14:paraId="49CD78F7"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0.41</w:t>
            </w:r>
          </w:p>
        </w:tc>
        <w:tc>
          <w:tcPr>
            <w:tcW w:w="580" w:type="pct"/>
            <w:tcBorders>
              <w:top w:val="nil"/>
              <w:left w:val="nil"/>
              <w:bottom w:val="single" w:sz="4" w:space="0" w:color="auto"/>
              <w:right w:val="nil"/>
            </w:tcBorders>
            <w:shd w:val="clear" w:color="auto" w:fill="auto"/>
            <w:noWrap/>
            <w:vAlign w:val="bottom"/>
            <w:hideMark/>
          </w:tcPr>
          <w:p w14:paraId="6AA680F5"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0.58</w:t>
            </w:r>
          </w:p>
        </w:tc>
        <w:tc>
          <w:tcPr>
            <w:tcW w:w="580" w:type="pct"/>
            <w:tcBorders>
              <w:top w:val="nil"/>
              <w:left w:val="nil"/>
              <w:bottom w:val="single" w:sz="4" w:space="0" w:color="auto"/>
              <w:right w:val="nil"/>
            </w:tcBorders>
            <w:shd w:val="clear" w:color="auto" w:fill="auto"/>
            <w:noWrap/>
            <w:vAlign w:val="bottom"/>
            <w:hideMark/>
          </w:tcPr>
          <w:p w14:paraId="10AE200E"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0.71</w:t>
            </w:r>
          </w:p>
        </w:tc>
        <w:tc>
          <w:tcPr>
            <w:tcW w:w="580" w:type="pct"/>
            <w:tcBorders>
              <w:top w:val="nil"/>
              <w:left w:val="nil"/>
              <w:bottom w:val="single" w:sz="4" w:space="0" w:color="auto"/>
              <w:right w:val="nil"/>
            </w:tcBorders>
            <w:shd w:val="clear" w:color="auto" w:fill="auto"/>
            <w:noWrap/>
            <w:vAlign w:val="bottom"/>
            <w:hideMark/>
          </w:tcPr>
          <w:p w14:paraId="031085E4"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0.80</w:t>
            </w:r>
          </w:p>
        </w:tc>
        <w:tc>
          <w:tcPr>
            <w:tcW w:w="580" w:type="pct"/>
            <w:tcBorders>
              <w:top w:val="nil"/>
              <w:left w:val="nil"/>
              <w:bottom w:val="single" w:sz="4" w:space="0" w:color="auto"/>
              <w:right w:val="nil"/>
            </w:tcBorders>
            <w:shd w:val="clear" w:color="auto" w:fill="auto"/>
            <w:noWrap/>
            <w:vAlign w:val="bottom"/>
            <w:hideMark/>
          </w:tcPr>
          <w:p w14:paraId="2BED3646"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0.88</w:t>
            </w:r>
          </w:p>
        </w:tc>
        <w:tc>
          <w:tcPr>
            <w:tcW w:w="580" w:type="pct"/>
            <w:tcBorders>
              <w:top w:val="nil"/>
              <w:left w:val="nil"/>
              <w:bottom w:val="single" w:sz="4" w:space="0" w:color="auto"/>
              <w:right w:val="nil"/>
            </w:tcBorders>
            <w:shd w:val="clear" w:color="auto" w:fill="auto"/>
            <w:noWrap/>
            <w:vAlign w:val="bottom"/>
            <w:hideMark/>
          </w:tcPr>
          <w:p w14:paraId="4647E8FC"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0.94</w:t>
            </w:r>
          </w:p>
        </w:tc>
        <w:tc>
          <w:tcPr>
            <w:tcW w:w="580" w:type="pct"/>
            <w:tcBorders>
              <w:top w:val="nil"/>
              <w:left w:val="nil"/>
              <w:bottom w:val="single" w:sz="4" w:space="0" w:color="auto"/>
              <w:right w:val="nil"/>
            </w:tcBorders>
            <w:shd w:val="clear" w:color="auto" w:fill="auto"/>
            <w:noWrap/>
            <w:vAlign w:val="bottom"/>
            <w:hideMark/>
          </w:tcPr>
          <w:p w14:paraId="4FC1D5F3"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1.00</w:t>
            </w:r>
          </w:p>
        </w:tc>
      </w:tr>
    </w:tbl>
    <w:p w14:paraId="729F8920" w14:textId="77777777" w:rsidR="00034A34" w:rsidRDefault="00034A34" w:rsidP="00034A34">
      <w:pPr>
        <w:spacing w:after="0" w:line="240" w:lineRule="auto"/>
        <w:rPr>
          <w:rFonts w:ascii="Times New Roman" w:hAnsi="Times New Roman" w:cs="Times New Roman"/>
          <w:sz w:val="24"/>
          <w:szCs w:val="24"/>
        </w:rPr>
      </w:pPr>
      <w:r>
        <w:rPr>
          <w:rFonts w:ascii="Times New Roman" w:hAnsi="Times New Roman"/>
          <w:sz w:val="24"/>
          <w:szCs w:val="24"/>
        </w:rPr>
        <w:t>Note: Intelligence measures show greatest absolute loadings on the first Principal Component (PC), cognitive style measures on the second PC, and political knowledge on the third PC</w:t>
      </w:r>
    </w:p>
    <w:p w14:paraId="6D5C84C3" w14:textId="0FF439CC" w:rsidR="00034A34" w:rsidRDefault="00034A34" w:rsidP="00034A34">
      <w:pPr>
        <w:spacing w:after="0" w:line="480" w:lineRule="auto"/>
        <w:rPr>
          <w:rFonts w:ascii="Times New Roman" w:eastAsia="Yu Mincho" w:hAnsi="Times New Roman"/>
          <w:iCs/>
          <w:sz w:val="24"/>
          <w:szCs w:val="24"/>
        </w:rPr>
      </w:pPr>
    </w:p>
    <w:p w14:paraId="275A00F5" w14:textId="42E3732C" w:rsidR="00C73435" w:rsidRDefault="00C73435" w:rsidP="00034A34">
      <w:pPr>
        <w:spacing w:after="0" w:line="480" w:lineRule="auto"/>
        <w:rPr>
          <w:rFonts w:ascii="Times New Roman" w:eastAsia="Yu Mincho" w:hAnsi="Times New Roman"/>
          <w:iCs/>
          <w:sz w:val="24"/>
          <w:szCs w:val="24"/>
        </w:rPr>
      </w:pPr>
    </w:p>
    <w:p w14:paraId="2AC6335B" w14:textId="10ACF1C5" w:rsidR="00C73435" w:rsidRDefault="00C73435" w:rsidP="00034A34">
      <w:pPr>
        <w:spacing w:after="0" w:line="480" w:lineRule="auto"/>
        <w:rPr>
          <w:rFonts w:ascii="Times New Roman" w:eastAsia="Yu Mincho" w:hAnsi="Times New Roman"/>
          <w:iCs/>
          <w:sz w:val="24"/>
          <w:szCs w:val="24"/>
        </w:rPr>
      </w:pPr>
    </w:p>
    <w:p w14:paraId="55C3BF86" w14:textId="519750EB" w:rsidR="00C73435" w:rsidRDefault="00C73435" w:rsidP="00034A34">
      <w:pPr>
        <w:spacing w:after="0" w:line="480" w:lineRule="auto"/>
        <w:rPr>
          <w:rFonts w:ascii="Times New Roman" w:eastAsia="Yu Mincho" w:hAnsi="Times New Roman"/>
          <w:iCs/>
          <w:sz w:val="24"/>
          <w:szCs w:val="24"/>
        </w:rPr>
      </w:pPr>
    </w:p>
    <w:p w14:paraId="708401F4" w14:textId="77777777" w:rsidR="00C73435" w:rsidRDefault="00C73435" w:rsidP="00034A34">
      <w:pPr>
        <w:spacing w:after="0" w:line="480" w:lineRule="auto"/>
        <w:rPr>
          <w:rFonts w:ascii="Times New Roman" w:hAnsi="Times New Roman"/>
          <w:sz w:val="24"/>
          <w:szCs w:val="24"/>
        </w:rPr>
      </w:pPr>
    </w:p>
    <w:p w14:paraId="6257EEBF" w14:textId="54C3A454" w:rsidR="00034A34" w:rsidRDefault="00034A34" w:rsidP="00034A34">
      <w:pPr>
        <w:spacing w:after="0" w:line="480" w:lineRule="auto"/>
        <w:rPr>
          <w:rFonts w:ascii="Times New Roman" w:hAnsi="Times New Roman"/>
          <w:sz w:val="24"/>
          <w:szCs w:val="24"/>
        </w:rPr>
      </w:pPr>
      <w:r>
        <w:rPr>
          <w:rFonts w:ascii="Times New Roman" w:hAnsi="Times New Roman"/>
          <w:sz w:val="24"/>
          <w:szCs w:val="24"/>
        </w:rPr>
        <w:t>Table 4</w:t>
      </w:r>
    </w:p>
    <w:p w14:paraId="626EF2BF" w14:textId="77777777" w:rsidR="00034A34" w:rsidRPr="00B1685B" w:rsidRDefault="00034A34" w:rsidP="00034A34">
      <w:pPr>
        <w:spacing w:after="0" w:line="480" w:lineRule="auto"/>
        <w:rPr>
          <w:rFonts w:ascii="Times New Roman" w:hAnsi="Times New Roman"/>
          <w:i/>
          <w:iCs/>
          <w:sz w:val="24"/>
          <w:szCs w:val="24"/>
        </w:rPr>
      </w:pPr>
      <w:r w:rsidRPr="00B1685B">
        <w:rPr>
          <w:rFonts w:ascii="Times New Roman" w:hAnsi="Times New Roman"/>
          <w:i/>
          <w:iCs/>
          <w:sz w:val="24"/>
          <w:szCs w:val="24"/>
        </w:rPr>
        <w:t>Mean Item Level Factor Loadings for Intelligence and Cognitive Style Scales (</w:t>
      </w:r>
      <w:r>
        <w:rPr>
          <w:rFonts w:ascii="Times New Roman" w:hAnsi="Times New Roman"/>
          <w:i/>
          <w:iCs/>
          <w:sz w:val="24"/>
          <w:szCs w:val="24"/>
        </w:rPr>
        <w:t xml:space="preserve">Season 1; </w:t>
      </w:r>
      <w:r w:rsidRPr="00B1685B">
        <w:rPr>
          <w:rFonts w:ascii="Times New Roman" w:hAnsi="Times New Roman"/>
          <w:i/>
          <w:iCs/>
          <w:sz w:val="24"/>
          <w:szCs w:val="24"/>
        </w:rPr>
        <w:t>n= 1,380)</w:t>
      </w:r>
    </w:p>
    <w:tbl>
      <w:tblPr>
        <w:tblW w:w="0" w:type="auto"/>
        <w:jc w:val="center"/>
        <w:tblLook w:val="04A0" w:firstRow="1" w:lastRow="0" w:firstColumn="1" w:lastColumn="0" w:noHBand="0" w:noVBand="1"/>
      </w:tblPr>
      <w:tblGrid>
        <w:gridCol w:w="923"/>
        <w:gridCol w:w="1349"/>
        <w:gridCol w:w="1716"/>
      </w:tblGrid>
      <w:tr w:rsidR="00034A34" w:rsidRPr="009F0525" w14:paraId="4AED7D64" w14:textId="77777777" w:rsidTr="00A4068E">
        <w:trPr>
          <w:trHeight w:val="308"/>
          <w:jc w:val="center"/>
        </w:trPr>
        <w:tc>
          <w:tcPr>
            <w:tcW w:w="0" w:type="auto"/>
            <w:tcBorders>
              <w:top w:val="single" w:sz="4" w:space="0" w:color="auto"/>
              <w:left w:val="nil"/>
              <w:bottom w:val="single" w:sz="4" w:space="0" w:color="auto"/>
              <w:right w:val="nil"/>
            </w:tcBorders>
            <w:shd w:val="clear" w:color="auto" w:fill="auto"/>
            <w:noWrap/>
            <w:vAlign w:val="bottom"/>
            <w:hideMark/>
          </w:tcPr>
          <w:p w14:paraId="55636FAA" w14:textId="77777777" w:rsidR="00034A34" w:rsidRPr="004D13B3" w:rsidRDefault="00034A34" w:rsidP="00A4068E">
            <w:pPr>
              <w:spacing w:after="0" w:line="240" w:lineRule="auto"/>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Scale</w:t>
            </w:r>
          </w:p>
        </w:tc>
        <w:tc>
          <w:tcPr>
            <w:tcW w:w="0" w:type="auto"/>
            <w:tcBorders>
              <w:top w:val="single" w:sz="4" w:space="0" w:color="auto"/>
              <w:left w:val="nil"/>
              <w:bottom w:val="single" w:sz="4" w:space="0" w:color="auto"/>
              <w:right w:val="nil"/>
            </w:tcBorders>
            <w:shd w:val="clear" w:color="auto" w:fill="auto"/>
            <w:noWrap/>
            <w:vAlign w:val="bottom"/>
            <w:hideMark/>
          </w:tcPr>
          <w:p w14:paraId="62BFA446" w14:textId="77777777" w:rsidR="00034A34" w:rsidRPr="004D13B3" w:rsidRDefault="00034A34" w:rsidP="00A4068E">
            <w:pPr>
              <w:spacing w:after="0" w:line="240" w:lineRule="auto"/>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Intelligence</w:t>
            </w:r>
          </w:p>
        </w:tc>
        <w:tc>
          <w:tcPr>
            <w:tcW w:w="0" w:type="auto"/>
            <w:tcBorders>
              <w:top w:val="single" w:sz="4" w:space="0" w:color="auto"/>
              <w:left w:val="nil"/>
              <w:bottom w:val="single" w:sz="4" w:space="0" w:color="auto"/>
              <w:right w:val="nil"/>
            </w:tcBorders>
            <w:shd w:val="clear" w:color="auto" w:fill="auto"/>
            <w:noWrap/>
            <w:vAlign w:val="bottom"/>
            <w:hideMark/>
          </w:tcPr>
          <w:p w14:paraId="6D0DF143" w14:textId="77777777" w:rsidR="00034A34" w:rsidRPr="004D13B3" w:rsidRDefault="00034A34" w:rsidP="00A4068E">
            <w:pPr>
              <w:spacing w:after="0" w:line="240" w:lineRule="auto"/>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Cognitive Style</w:t>
            </w:r>
          </w:p>
        </w:tc>
      </w:tr>
      <w:tr w:rsidR="00034A34" w:rsidRPr="009F0525" w14:paraId="2078F8CE" w14:textId="77777777" w:rsidTr="00A4068E">
        <w:trPr>
          <w:trHeight w:val="308"/>
          <w:jc w:val="center"/>
        </w:trPr>
        <w:tc>
          <w:tcPr>
            <w:tcW w:w="0" w:type="auto"/>
            <w:tcBorders>
              <w:top w:val="nil"/>
              <w:left w:val="nil"/>
              <w:bottom w:val="nil"/>
              <w:right w:val="nil"/>
            </w:tcBorders>
            <w:shd w:val="clear" w:color="auto" w:fill="auto"/>
            <w:noWrap/>
            <w:vAlign w:val="bottom"/>
            <w:hideMark/>
          </w:tcPr>
          <w:p w14:paraId="13F04E75" w14:textId="77777777" w:rsidR="00034A34" w:rsidRPr="004D13B3" w:rsidRDefault="00034A34" w:rsidP="00A4068E">
            <w:pPr>
              <w:spacing w:after="0" w:line="240" w:lineRule="auto"/>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lastRenderedPageBreak/>
              <w:t>BN</w:t>
            </w:r>
          </w:p>
        </w:tc>
        <w:tc>
          <w:tcPr>
            <w:tcW w:w="0" w:type="auto"/>
            <w:tcBorders>
              <w:top w:val="nil"/>
              <w:left w:val="nil"/>
              <w:bottom w:val="nil"/>
              <w:right w:val="nil"/>
            </w:tcBorders>
            <w:shd w:val="clear" w:color="auto" w:fill="auto"/>
            <w:noWrap/>
            <w:vAlign w:val="bottom"/>
            <w:hideMark/>
          </w:tcPr>
          <w:p w14:paraId="04FE8BEA"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0.68</w:t>
            </w:r>
          </w:p>
        </w:tc>
        <w:tc>
          <w:tcPr>
            <w:tcW w:w="0" w:type="auto"/>
            <w:tcBorders>
              <w:top w:val="nil"/>
              <w:left w:val="nil"/>
              <w:bottom w:val="nil"/>
              <w:right w:val="nil"/>
            </w:tcBorders>
            <w:shd w:val="clear" w:color="auto" w:fill="auto"/>
            <w:noWrap/>
            <w:vAlign w:val="bottom"/>
            <w:hideMark/>
          </w:tcPr>
          <w:p w14:paraId="344A4655"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w:t>
            </w:r>
          </w:p>
        </w:tc>
      </w:tr>
      <w:tr w:rsidR="00034A34" w:rsidRPr="009F0525" w14:paraId="69216D3E" w14:textId="77777777" w:rsidTr="00A4068E">
        <w:trPr>
          <w:trHeight w:val="308"/>
          <w:jc w:val="center"/>
        </w:trPr>
        <w:tc>
          <w:tcPr>
            <w:tcW w:w="0" w:type="auto"/>
            <w:tcBorders>
              <w:top w:val="nil"/>
              <w:left w:val="nil"/>
              <w:bottom w:val="nil"/>
              <w:right w:val="nil"/>
            </w:tcBorders>
            <w:shd w:val="clear" w:color="auto" w:fill="auto"/>
            <w:noWrap/>
            <w:vAlign w:val="bottom"/>
            <w:hideMark/>
          </w:tcPr>
          <w:p w14:paraId="5BEDCD14" w14:textId="77777777" w:rsidR="00034A34" w:rsidRPr="004D13B3" w:rsidRDefault="00034A34" w:rsidP="00A4068E">
            <w:pPr>
              <w:spacing w:after="0" w:line="240" w:lineRule="auto"/>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CRT</w:t>
            </w:r>
          </w:p>
        </w:tc>
        <w:tc>
          <w:tcPr>
            <w:tcW w:w="0" w:type="auto"/>
            <w:tcBorders>
              <w:top w:val="nil"/>
              <w:left w:val="nil"/>
              <w:bottom w:val="nil"/>
              <w:right w:val="nil"/>
            </w:tcBorders>
            <w:shd w:val="clear" w:color="auto" w:fill="auto"/>
            <w:noWrap/>
            <w:vAlign w:val="bottom"/>
            <w:hideMark/>
          </w:tcPr>
          <w:p w14:paraId="4CE154BA"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0.73</w:t>
            </w:r>
          </w:p>
        </w:tc>
        <w:tc>
          <w:tcPr>
            <w:tcW w:w="0" w:type="auto"/>
            <w:tcBorders>
              <w:top w:val="nil"/>
              <w:left w:val="nil"/>
              <w:bottom w:val="nil"/>
              <w:right w:val="nil"/>
            </w:tcBorders>
            <w:shd w:val="clear" w:color="auto" w:fill="auto"/>
            <w:noWrap/>
            <w:vAlign w:val="bottom"/>
            <w:hideMark/>
          </w:tcPr>
          <w:p w14:paraId="7B7C42F3"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w:t>
            </w:r>
          </w:p>
        </w:tc>
      </w:tr>
      <w:tr w:rsidR="00034A34" w:rsidRPr="009F0525" w14:paraId="4067424A" w14:textId="77777777" w:rsidTr="00A4068E">
        <w:trPr>
          <w:trHeight w:val="308"/>
          <w:jc w:val="center"/>
        </w:trPr>
        <w:tc>
          <w:tcPr>
            <w:tcW w:w="0" w:type="auto"/>
            <w:tcBorders>
              <w:top w:val="nil"/>
              <w:left w:val="nil"/>
              <w:bottom w:val="nil"/>
              <w:right w:val="nil"/>
            </w:tcBorders>
            <w:shd w:val="clear" w:color="auto" w:fill="auto"/>
            <w:noWrap/>
            <w:vAlign w:val="bottom"/>
            <w:hideMark/>
          </w:tcPr>
          <w:p w14:paraId="4268E539" w14:textId="77777777" w:rsidR="00034A34" w:rsidRPr="004D13B3" w:rsidRDefault="00034A34" w:rsidP="00A4068E">
            <w:pPr>
              <w:spacing w:after="0" w:line="240" w:lineRule="auto"/>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MTX</w:t>
            </w:r>
          </w:p>
        </w:tc>
        <w:tc>
          <w:tcPr>
            <w:tcW w:w="0" w:type="auto"/>
            <w:tcBorders>
              <w:top w:val="nil"/>
              <w:left w:val="nil"/>
              <w:bottom w:val="nil"/>
              <w:right w:val="nil"/>
            </w:tcBorders>
            <w:shd w:val="clear" w:color="auto" w:fill="auto"/>
            <w:noWrap/>
            <w:vAlign w:val="bottom"/>
            <w:hideMark/>
          </w:tcPr>
          <w:p w14:paraId="4D2EA5A8"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0.35</w:t>
            </w:r>
          </w:p>
        </w:tc>
        <w:tc>
          <w:tcPr>
            <w:tcW w:w="0" w:type="auto"/>
            <w:tcBorders>
              <w:top w:val="nil"/>
              <w:left w:val="nil"/>
              <w:bottom w:val="nil"/>
              <w:right w:val="nil"/>
            </w:tcBorders>
            <w:shd w:val="clear" w:color="auto" w:fill="auto"/>
            <w:noWrap/>
            <w:vAlign w:val="bottom"/>
            <w:hideMark/>
          </w:tcPr>
          <w:p w14:paraId="1195F1BB"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w:t>
            </w:r>
          </w:p>
        </w:tc>
      </w:tr>
      <w:tr w:rsidR="00034A34" w:rsidRPr="009F0525" w14:paraId="2F0AC421" w14:textId="77777777" w:rsidTr="00A4068E">
        <w:trPr>
          <w:trHeight w:val="308"/>
          <w:jc w:val="center"/>
        </w:trPr>
        <w:tc>
          <w:tcPr>
            <w:tcW w:w="0" w:type="auto"/>
            <w:tcBorders>
              <w:top w:val="nil"/>
              <w:left w:val="nil"/>
              <w:bottom w:val="nil"/>
              <w:right w:val="nil"/>
            </w:tcBorders>
            <w:shd w:val="clear" w:color="auto" w:fill="auto"/>
            <w:noWrap/>
            <w:vAlign w:val="bottom"/>
            <w:hideMark/>
          </w:tcPr>
          <w:p w14:paraId="5466E2EE" w14:textId="77777777" w:rsidR="00034A34" w:rsidRPr="004D13B3" w:rsidRDefault="00034A34" w:rsidP="00A4068E">
            <w:pPr>
              <w:spacing w:after="0" w:line="240" w:lineRule="auto"/>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NS</w:t>
            </w:r>
          </w:p>
        </w:tc>
        <w:tc>
          <w:tcPr>
            <w:tcW w:w="0" w:type="auto"/>
            <w:tcBorders>
              <w:top w:val="nil"/>
              <w:left w:val="nil"/>
              <w:bottom w:val="nil"/>
              <w:right w:val="nil"/>
            </w:tcBorders>
            <w:shd w:val="clear" w:color="auto" w:fill="auto"/>
            <w:noWrap/>
            <w:vAlign w:val="bottom"/>
            <w:hideMark/>
          </w:tcPr>
          <w:p w14:paraId="0A1C9A55"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0.53</w:t>
            </w:r>
          </w:p>
        </w:tc>
        <w:tc>
          <w:tcPr>
            <w:tcW w:w="0" w:type="auto"/>
            <w:tcBorders>
              <w:top w:val="nil"/>
              <w:left w:val="nil"/>
              <w:bottom w:val="nil"/>
              <w:right w:val="nil"/>
            </w:tcBorders>
            <w:shd w:val="clear" w:color="auto" w:fill="auto"/>
            <w:noWrap/>
            <w:vAlign w:val="bottom"/>
            <w:hideMark/>
          </w:tcPr>
          <w:p w14:paraId="06596881"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w:t>
            </w:r>
          </w:p>
        </w:tc>
      </w:tr>
      <w:tr w:rsidR="00034A34" w:rsidRPr="009F0525" w14:paraId="07F24595" w14:textId="77777777" w:rsidTr="00A4068E">
        <w:trPr>
          <w:trHeight w:val="308"/>
          <w:jc w:val="center"/>
        </w:trPr>
        <w:tc>
          <w:tcPr>
            <w:tcW w:w="0" w:type="auto"/>
            <w:tcBorders>
              <w:top w:val="nil"/>
              <w:left w:val="nil"/>
              <w:bottom w:val="nil"/>
              <w:right w:val="nil"/>
            </w:tcBorders>
            <w:shd w:val="clear" w:color="auto" w:fill="auto"/>
            <w:noWrap/>
            <w:vAlign w:val="bottom"/>
            <w:hideMark/>
          </w:tcPr>
          <w:p w14:paraId="4B12E05B" w14:textId="77777777" w:rsidR="00034A34" w:rsidRPr="004D13B3" w:rsidRDefault="00034A34" w:rsidP="00A4068E">
            <w:pPr>
              <w:spacing w:after="0" w:line="240" w:lineRule="auto"/>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AOMT</w:t>
            </w:r>
          </w:p>
        </w:tc>
        <w:tc>
          <w:tcPr>
            <w:tcW w:w="0" w:type="auto"/>
            <w:tcBorders>
              <w:top w:val="nil"/>
              <w:left w:val="nil"/>
              <w:bottom w:val="nil"/>
              <w:right w:val="nil"/>
            </w:tcBorders>
            <w:shd w:val="clear" w:color="auto" w:fill="auto"/>
            <w:noWrap/>
            <w:vAlign w:val="bottom"/>
            <w:hideMark/>
          </w:tcPr>
          <w:p w14:paraId="2E35F001"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w:t>
            </w:r>
          </w:p>
        </w:tc>
        <w:tc>
          <w:tcPr>
            <w:tcW w:w="0" w:type="auto"/>
            <w:tcBorders>
              <w:top w:val="nil"/>
              <w:left w:val="nil"/>
              <w:bottom w:val="nil"/>
              <w:right w:val="nil"/>
            </w:tcBorders>
            <w:shd w:val="clear" w:color="auto" w:fill="auto"/>
            <w:noWrap/>
            <w:vAlign w:val="bottom"/>
            <w:hideMark/>
          </w:tcPr>
          <w:p w14:paraId="6645343F"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0.30</w:t>
            </w:r>
          </w:p>
        </w:tc>
      </w:tr>
      <w:tr w:rsidR="00034A34" w:rsidRPr="009F0525" w14:paraId="17BFA1D6" w14:textId="77777777" w:rsidTr="00A4068E">
        <w:trPr>
          <w:trHeight w:val="308"/>
          <w:jc w:val="center"/>
        </w:trPr>
        <w:tc>
          <w:tcPr>
            <w:tcW w:w="0" w:type="auto"/>
            <w:tcBorders>
              <w:top w:val="nil"/>
              <w:left w:val="nil"/>
              <w:bottom w:val="nil"/>
              <w:right w:val="nil"/>
            </w:tcBorders>
            <w:shd w:val="clear" w:color="auto" w:fill="auto"/>
            <w:noWrap/>
            <w:vAlign w:val="bottom"/>
            <w:hideMark/>
          </w:tcPr>
          <w:p w14:paraId="74641FCB" w14:textId="77777777" w:rsidR="00034A34" w:rsidRPr="004D13B3" w:rsidRDefault="00034A34" w:rsidP="00A4068E">
            <w:pPr>
              <w:spacing w:after="0" w:line="240" w:lineRule="auto"/>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NFC</w:t>
            </w:r>
          </w:p>
        </w:tc>
        <w:tc>
          <w:tcPr>
            <w:tcW w:w="0" w:type="auto"/>
            <w:tcBorders>
              <w:top w:val="nil"/>
              <w:left w:val="nil"/>
              <w:bottom w:val="nil"/>
              <w:right w:val="nil"/>
            </w:tcBorders>
            <w:shd w:val="clear" w:color="auto" w:fill="auto"/>
            <w:noWrap/>
            <w:vAlign w:val="bottom"/>
            <w:hideMark/>
          </w:tcPr>
          <w:p w14:paraId="4024B791"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w:t>
            </w:r>
          </w:p>
        </w:tc>
        <w:tc>
          <w:tcPr>
            <w:tcW w:w="0" w:type="auto"/>
            <w:tcBorders>
              <w:top w:val="nil"/>
              <w:left w:val="nil"/>
              <w:bottom w:val="nil"/>
              <w:right w:val="nil"/>
            </w:tcBorders>
            <w:shd w:val="clear" w:color="auto" w:fill="auto"/>
            <w:noWrap/>
            <w:vAlign w:val="bottom"/>
            <w:hideMark/>
          </w:tcPr>
          <w:p w14:paraId="5BA3033A"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0.44</w:t>
            </w:r>
          </w:p>
        </w:tc>
      </w:tr>
      <w:tr w:rsidR="00034A34" w:rsidRPr="009F0525" w14:paraId="20EB658E" w14:textId="77777777" w:rsidTr="00A4068E">
        <w:trPr>
          <w:trHeight w:val="308"/>
          <w:jc w:val="center"/>
        </w:trPr>
        <w:tc>
          <w:tcPr>
            <w:tcW w:w="0" w:type="auto"/>
            <w:tcBorders>
              <w:top w:val="nil"/>
              <w:left w:val="nil"/>
              <w:bottom w:val="single" w:sz="4" w:space="0" w:color="auto"/>
              <w:right w:val="nil"/>
            </w:tcBorders>
            <w:shd w:val="clear" w:color="auto" w:fill="auto"/>
            <w:noWrap/>
            <w:vAlign w:val="bottom"/>
            <w:hideMark/>
          </w:tcPr>
          <w:p w14:paraId="2DB05972" w14:textId="77777777" w:rsidR="00034A34" w:rsidRPr="004D13B3" w:rsidRDefault="00034A34" w:rsidP="00A4068E">
            <w:pPr>
              <w:spacing w:after="0" w:line="240" w:lineRule="auto"/>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PK</w:t>
            </w:r>
          </w:p>
        </w:tc>
        <w:tc>
          <w:tcPr>
            <w:tcW w:w="0" w:type="auto"/>
            <w:tcBorders>
              <w:top w:val="nil"/>
              <w:left w:val="nil"/>
              <w:bottom w:val="single" w:sz="4" w:space="0" w:color="auto"/>
              <w:right w:val="nil"/>
            </w:tcBorders>
            <w:shd w:val="clear" w:color="auto" w:fill="auto"/>
            <w:noWrap/>
            <w:vAlign w:val="bottom"/>
            <w:hideMark/>
          </w:tcPr>
          <w:p w14:paraId="616447EC"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w:t>
            </w:r>
          </w:p>
        </w:tc>
        <w:tc>
          <w:tcPr>
            <w:tcW w:w="0" w:type="auto"/>
            <w:tcBorders>
              <w:top w:val="nil"/>
              <w:left w:val="nil"/>
              <w:bottom w:val="single" w:sz="4" w:space="0" w:color="auto"/>
              <w:right w:val="nil"/>
            </w:tcBorders>
            <w:shd w:val="clear" w:color="auto" w:fill="auto"/>
            <w:noWrap/>
            <w:vAlign w:val="bottom"/>
            <w:hideMark/>
          </w:tcPr>
          <w:p w14:paraId="5F281CF2" w14:textId="77777777" w:rsidR="00034A34" w:rsidRPr="004D13B3" w:rsidRDefault="00034A34" w:rsidP="00A4068E">
            <w:pPr>
              <w:spacing w:after="0" w:line="240" w:lineRule="auto"/>
              <w:jc w:val="center"/>
              <w:rPr>
                <w:rFonts w:ascii="Times New Roman" w:eastAsia="Times New Roman" w:hAnsi="Times New Roman"/>
                <w:color w:val="000000"/>
                <w:sz w:val="24"/>
                <w:szCs w:val="24"/>
              </w:rPr>
            </w:pPr>
            <w:r w:rsidRPr="004D13B3">
              <w:rPr>
                <w:rFonts w:ascii="Times New Roman" w:eastAsia="Times New Roman" w:hAnsi="Times New Roman"/>
                <w:color w:val="000000"/>
                <w:sz w:val="24"/>
                <w:szCs w:val="24"/>
              </w:rPr>
              <w:t>--</w:t>
            </w:r>
          </w:p>
        </w:tc>
      </w:tr>
    </w:tbl>
    <w:p w14:paraId="01A3B2CF" w14:textId="77777777" w:rsidR="00034A34" w:rsidRDefault="00034A34" w:rsidP="00034A34">
      <w:pPr>
        <w:spacing w:after="0" w:line="480" w:lineRule="auto"/>
        <w:ind w:firstLine="720"/>
        <w:rPr>
          <w:rFonts w:ascii="Times New Roman" w:eastAsia="Yu Mincho" w:hAnsi="Times New Roman"/>
          <w:i/>
          <w:sz w:val="24"/>
          <w:szCs w:val="24"/>
        </w:rPr>
      </w:pPr>
    </w:p>
    <w:p w14:paraId="52600EF5" w14:textId="1D4569B1" w:rsidR="00034A34" w:rsidRDefault="00034A34" w:rsidP="00C73435">
      <w:pPr>
        <w:spacing w:after="0"/>
      </w:pPr>
    </w:p>
    <w:p w14:paraId="6A0F69B8" w14:textId="7B35044C" w:rsidR="00C73435" w:rsidRPr="00C73435" w:rsidRDefault="00C73435" w:rsidP="00C73435">
      <w:pPr>
        <w:widowControl w:val="0"/>
        <w:autoSpaceDE w:val="0"/>
        <w:autoSpaceDN w:val="0"/>
        <w:adjustRightInd w:val="0"/>
        <w:spacing w:after="0" w:line="240" w:lineRule="auto"/>
        <w:ind w:left="480" w:hanging="480"/>
        <w:rPr>
          <w:rFonts w:ascii="Times New Roman" w:hAnsi="Times New Roman" w:cs="Times New Roman"/>
          <w:noProof/>
          <w:sz w:val="24"/>
          <w:szCs w:val="24"/>
        </w:rPr>
      </w:pPr>
      <w:r w:rsidRPr="00C73435">
        <w:rPr>
          <w:rFonts w:ascii="Times New Roman" w:hAnsi="Times New Roman" w:cs="Times New Roman"/>
          <w:sz w:val="24"/>
          <w:szCs w:val="24"/>
        </w:rPr>
        <w:fldChar w:fldCharType="begin" w:fldLock="1"/>
      </w:r>
      <w:r w:rsidRPr="00C73435">
        <w:rPr>
          <w:rFonts w:ascii="Times New Roman" w:hAnsi="Times New Roman" w:cs="Times New Roman"/>
          <w:sz w:val="24"/>
          <w:szCs w:val="24"/>
        </w:rPr>
        <w:instrText xml:space="preserve">ADDIN Mendeley Bibliography CSL_BIBLIOGRAPHY </w:instrText>
      </w:r>
      <w:r w:rsidRPr="00C73435">
        <w:rPr>
          <w:rFonts w:ascii="Times New Roman" w:hAnsi="Times New Roman" w:cs="Times New Roman"/>
          <w:sz w:val="24"/>
          <w:szCs w:val="24"/>
        </w:rPr>
        <w:fldChar w:fldCharType="separate"/>
      </w:r>
      <w:r w:rsidRPr="00C73435">
        <w:rPr>
          <w:rFonts w:ascii="Times New Roman" w:hAnsi="Times New Roman" w:cs="Times New Roman"/>
          <w:noProof/>
          <w:sz w:val="24"/>
          <w:szCs w:val="24"/>
        </w:rPr>
        <w:t xml:space="preserve">Maydeu-Olivares, A., &amp; Joe, H. (2006). Limited information goodness-of-fit testing in multidimensional contingency tables. </w:t>
      </w:r>
      <w:r w:rsidRPr="00C73435">
        <w:rPr>
          <w:rFonts w:ascii="Times New Roman" w:hAnsi="Times New Roman" w:cs="Times New Roman"/>
          <w:i/>
          <w:iCs/>
          <w:noProof/>
          <w:sz w:val="24"/>
          <w:szCs w:val="24"/>
        </w:rPr>
        <w:t>Psychometrika</w:t>
      </w:r>
      <w:r w:rsidRPr="00C73435">
        <w:rPr>
          <w:rFonts w:ascii="Times New Roman" w:hAnsi="Times New Roman" w:cs="Times New Roman"/>
          <w:noProof/>
          <w:sz w:val="24"/>
          <w:szCs w:val="24"/>
        </w:rPr>
        <w:t xml:space="preserve">, </w:t>
      </w:r>
      <w:r w:rsidRPr="00C73435">
        <w:rPr>
          <w:rFonts w:ascii="Times New Roman" w:hAnsi="Times New Roman" w:cs="Times New Roman"/>
          <w:i/>
          <w:iCs/>
          <w:noProof/>
          <w:sz w:val="24"/>
          <w:szCs w:val="24"/>
        </w:rPr>
        <w:t>71</w:t>
      </w:r>
      <w:r w:rsidRPr="00C73435">
        <w:rPr>
          <w:rFonts w:ascii="Times New Roman" w:hAnsi="Times New Roman" w:cs="Times New Roman"/>
          <w:noProof/>
          <w:sz w:val="24"/>
          <w:szCs w:val="24"/>
        </w:rPr>
        <w:t>(4), 713.</w:t>
      </w:r>
    </w:p>
    <w:p w14:paraId="6C579C05" w14:textId="77777777" w:rsidR="00C73435" w:rsidRPr="00C73435" w:rsidRDefault="00C73435" w:rsidP="00C73435">
      <w:pPr>
        <w:widowControl w:val="0"/>
        <w:autoSpaceDE w:val="0"/>
        <w:autoSpaceDN w:val="0"/>
        <w:adjustRightInd w:val="0"/>
        <w:spacing w:after="0" w:line="240" w:lineRule="auto"/>
        <w:ind w:left="480" w:hanging="480"/>
        <w:rPr>
          <w:rFonts w:ascii="Times New Roman" w:hAnsi="Times New Roman" w:cs="Times New Roman"/>
          <w:noProof/>
          <w:sz w:val="24"/>
          <w:szCs w:val="24"/>
        </w:rPr>
      </w:pPr>
      <w:r w:rsidRPr="00C73435">
        <w:rPr>
          <w:rFonts w:ascii="Times New Roman" w:hAnsi="Times New Roman" w:cs="Times New Roman"/>
          <w:noProof/>
          <w:sz w:val="24"/>
          <w:szCs w:val="24"/>
        </w:rPr>
        <w:t xml:space="preserve">Mellers, B. A., Stone, E. R., Atanasov, P., Rohrbaugh, N., Emlen Metz, S., Ungar, L., Bishop, M. M., Horowitz, M., Merkle, E., &amp; Tetlock, P. E. (2015). The psychology of intelligence analysis: Drivers of prediction accuracy in world politics. </w:t>
      </w:r>
      <w:r w:rsidRPr="00C73435">
        <w:rPr>
          <w:rFonts w:ascii="Times New Roman" w:hAnsi="Times New Roman" w:cs="Times New Roman"/>
          <w:i/>
          <w:iCs/>
          <w:noProof/>
          <w:sz w:val="24"/>
          <w:szCs w:val="24"/>
        </w:rPr>
        <w:t>Journal of Experimental Psychology: Applied</w:t>
      </w:r>
      <w:r w:rsidRPr="00C73435">
        <w:rPr>
          <w:rFonts w:ascii="Times New Roman" w:hAnsi="Times New Roman" w:cs="Times New Roman"/>
          <w:noProof/>
          <w:sz w:val="24"/>
          <w:szCs w:val="24"/>
        </w:rPr>
        <w:t xml:space="preserve">, </w:t>
      </w:r>
      <w:r w:rsidRPr="00C73435">
        <w:rPr>
          <w:rFonts w:ascii="Times New Roman" w:hAnsi="Times New Roman" w:cs="Times New Roman"/>
          <w:i/>
          <w:iCs/>
          <w:noProof/>
          <w:sz w:val="24"/>
          <w:szCs w:val="24"/>
        </w:rPr>
        <w:t>21</w:t>
      </w:r>
      <w:r w:rsidRPr="00C73435">
        <w:rPr>
          <w:rFonts w:ascii="Times New Roman" w:hAnsi="Times New Roman" w:cs="Times New Roman"/>
          <w:noProof/>
          <w:sz w:val="24"/>
          <w:szCs w:val="24"/>
        </w:rPr>
        <w:t>(1), 1–14. https://doi.org/10.1037/xap0000040</w:t>
      </w:r>
    </w:p>
    <w:p w14:paraId="78096665" w14:textId="77777777" w:rsidR="00C73435" w:rsidRPr="00C73435" w:rsidRDefault="00C73435" w:rsidP="00C73435">
      <w:pPr>
        <w:widowControl w:val="0"/>
        <w:autoSpaceDE w:val="0"/>
        <w:autoSpaceDN w:val="0"/>
        <w:adjustRightInd w:val="0"/>
        <w:spacing w:after="0" w:line="240" w:lineRule="auto"/>
        <w:ind w:left="480" w:hanging="480"/>
        <w:rPr>
          <w:rFonts w:ascii="Times New Roman" w:hAnsi="Times New Roman" w:cs="Times New Roman"/>
          <w:noProof/>
          <w:sz w:val="24"/>
          <w:szCs w:val="24"/>
        </w:rPr>
      </w:pPr>
      <w:r w:rsidRPr="00C73435">
        <w:rPr>
          <w:rFonts w:ascii="Times New Roman" w:hAnsi="Times New Roman" w:cs="Times New Roman"/>
          <w:noProof/>
          <w:sz w:val="24"/>
          <w:szCs w:val="24"/>
        </w:rPr>
        <w:t xml:space="preserve">Reise, S. P. (2012). The rediscovery of bifactor measurement models. </w:t>
      </w:r>
      <w:r w:rsidRPr="00C73435">
        <w:rPr>
          <w:rFonts w:ascii="Times New Roman" w:hAnsi="Times New Roman" w:cs="Times New Roman"/>
          <w:i/>
          <w:iCs/>
          <w:noProof/>
          <w:sz w:val="24"/>
          <w:szCs w:val="24"/>
        </w:rPr>
        <w:t>Multivariate Behavioral Research</w:t>
      </w:r>
      <w:r w:rsidRPr="00C73435">
        <w:rPr>
          <w:rFonts w:ascii="Times New Roman" w:hAnsi="Times New Roman" w:cs="Times New Roman"/>
          <w:noProof/>
          <w:sz w:val="24"/>
          <w:szCs w:val="24"/>
        </w:rPr>
        <w:t xml:space="preserve">, </w:t>
      </w:r>
      <w:r w:rsidRPr="00C73435">
        <w:rPr>
          <w:rFonts w:ascii="Times New Roman" w:hAnsi="Times New Roman" w:cs="Times New Roman"/>
          <w:i/>
          <w:iCs/>
          <w:noProof/>
          <w:sz w:val="24"/>
          <w:szCs w:val="24"/>
        </w:rPr>
        <w:t>47</w:t>
      </w:r>
      <w:r w:rsidRPr="00C73435">
        <w:rPr>
          <w:rFonts w:ascii="Times New Roman" w:hAnsi="Times New Roman" w:cs="Times New Roman"/>
          <w:noProof/>
          <w:sz w:val="24"/>
          <w:szCs w:val="24"/>
        </w:rPr>
        <w:t>(5), 667–696.</w:t>
      </w:r>
    </w:p>
    <w:p w14:paraId="0AF47974" w14:textId="5786A05C" w:rsidR="00C73435" w:rsidRDefault="00C73435" w:rsidP="00C73435">
      <w:pPr>
        <w:spacing w:after="0"/>
      </w:pPr>
      <w:r w:rsidRPr="00C73435">
        <w:rPr>
          <w:rFonts w:ascii="Times New Roman" w:hAnsi="Times New Roman" w:cs="Times New Roman"/>
          <w:sz w:val="24"/>
          <w:szCs w:val="24"/>
        </w:rPr>
        <w:fldChar w:fldCharType="end"/>
      </w:r>
    </w:p>
    <w:sectPr w:rsidR="00C7343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7A4508" w14:textId="77777777" w:rsidR="00B21222" w:rsidRDefault="00B21222" w:rsidP="00034A34">
      <w:pPr>
        <w:spacing w:after="0" w:line="240" w:lineRule="auto"/>
      </w:pPr>
      <w:r>
        <w:separator/>
      </w:r>
    </w:p>
  </w:endnote>
  <w:endnote w:type="continuationSeparator" w:id="0">
    <w:p w14:paraId="4436CE7E" w14:textId="77777777" w:rsidR="00B21222" w:rsidRDefault="00B21222" w:rsidP="00034A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C1B80D" w14:textId="77777777" w:rsidR="00B21222" w:rsidRDefault="00B21222" w:rsidP="00034A34">
      <w:pPr>
        <w:spacing w:after="0" w:line="240" w:lineRule="auto"/>
      </w:pPr>
      <w:r>
        <w:separator/>
      </w:r>
    </w:p>
  </w:footnote>
  <w:footnote w:type="continuationSeparator" w:id="0">
    <w:p w14:paraId="41FE4285" w14:textId="77777777" w:rsidR="00B21222" w:rsidRDefault="00B21222" w:rsidP="00034A34">
      <w:pPr>
        <w:spacing w:after="0" w:line="240" w:lineRule="auto"/>
      </w:pPr>
      <w:r>
        <w:continuationSeparator/>
      </w:r>
    </w:p>
  </w:footnote>
  <w:footnote w:id="1">
    <w:p w14:paraId="7CE50806" w14:textId="77777777" w:rsidR="00034A34" w:rsidRPr="00B15898" w:rsidRDefault="00034A34" w:rsidP="00034A34">
      <w:pPr>
        <w:pStyle w:val="FootnoteText"/>
        <w:rPr>
          <w:rFonts w:ascii="Times New Roman" w:hAnsi="Times New Roman" w:cs="Times New Roman"/>
          <w:sz w:val="24"/>
          <w:szCs w:val="24"/>
        </w:rPr>
      </w:pPr>
      <w:r w:rsidRPr="00C73435">
        <w:rPr>
          <w:rStyle w:val="FootnoteReference"/>
        </w:rPr>
        <w:footnoteRef/>
      </w:r>
      <w:r w:rsidRPr="00B15898">
        <w:rPr>
          <w:rFonts w:ascii="Times New Roman" w:hAnsi="Times New Roman" w:cs="Times New Roman"/>
          <w:sz w:val="24"/>
          <w:szCs w:val="24"/>
        </w:rPr>
        <w:t xml:space="preserve"> M2 is a fit statistic derived by </w:t>
      </w:r>
      <w:r w:rsidRPr="00B15898">
        <w:rPr>
          <w:rFonts w:ascii="Times New Roman" w:eastAsia="Yu Mincho" w:hAnsi="Times New Roman" w:cs="Times New Roman"/>
          <w:iCs/>
          <w:sz w:val="24"/>
          <w:szCs w:val="24"/>
        </w:rPr>
        <w:fldChar w:fldCharType="begin" w:fldLock="1"/>
      </w:r>
      <w:r w:rsidRPr="00B15898">
        <w:rPr>
          <w:rFonts w:ascii="Times New Roman" w:eastAsia="Yu Mincho" w:hAnsi="Times New Roman" w:cs="Times New Roman"/>
          <w:iCs/>
          <w:sz w:val="24"/>
          <w:szCs w:val="24"/>
        </w:rPr>
        <w:instrText>ADDIN CSL_CITATION {"citationItems":[{"id":"ITEM-1","itemData":{"author":[{"dropping-particle":"","family":"Maydeu-Olivares","given":"Albert","non-dropping-particle":"","parse-names":false,"suffix":""},{"dropping-particle":"","family":"Joe","given":"Harry","non-dropping-particle":"","parse-names":false,"suffix":""}],"container-title":"Psychometrika","id":"ITEM-1","issue":"4","issued":{"date-parts":[["2006"]]},"page":"713","publisher":"Springer","title":"Limited information goodness-of-fit testing in multidimensional contingency tables","type":"article-journal","volume":"71"},"uris":["http://www.mendeley.com/documents/?uuid=a8bd5dc9-0cc3-4031-ad36-68eea2405a5f"]}],"mendeley":{"formattedCitation":"(Maydeu-Olivares &amp; Joe, 2006)","manualFormatting":"Maydeu-Olivares &amp; Joe (2006)","plainTextFormattedCitation":"(Maydeu-Olivares &amp; Joe, 2006)","previouslyFormattedCitation":"(Maydeu-Olivares &amp; Joe, 2006)"},"properties":{"noteIndex":0},"schema":"https://github.com/citation-style-language/schema/raw/master/csl-citation.json"}</w:instrText>
      </w:r>
      <w:r w:rsidRPr="00B15898">
        <w:rPr>
          <w:rFonts w:ascii="Times New Roman" w:eastAsia="Yu Mincho" w:hAnsi="Times New Roman" w:cs="Times New Roman"/>
          <w:iCs/>
          <w:sz w:val="24"/>
          <w:szCs w:val="24"/>
        </w:rPr>
        <w:fldChar w:fldCharType="separate"/>
      </w:r>
      <w:r w:rsidRPr="00B15898">
        <w:rPr>
          <w:rFonts w:ascii="Times New Roman" w:eastAsia="Yu Mincho" w:hAnsi="Times New Roman" w:cs="Times New Roman"/>
          <w:iCs/>
          <w:noProof/>
          <w:sz w:val="24"/>
          <w:szCs w:val="24"/>
        </w:rPr>
        <w:t>Maydeu-Olivares &amp; Joe (2006)</w:t>
      </w:r>
      <w:r w:rsidRPr="00B15898">
        <w:rPr>
          <w:rFonts w:ascii="Times New Roman" w:eastAsia="Yu Mincho" w:hAnsi="Times New Roman" w:cs="Times New Roman"/>
          <w:iCs/>
          <w:sz w:val="24"/>
          <w:szCs w:val="24"/>
        </w:rPr>
        <w:fldChar w:fldCharType="end"/>
      </w:r>
      <w:r w:rsidRPr="00B15898">
        <w:rPr>
          <w:rFonts w:ascii="Times New Roman" w:eastAsia="Yu Mincho" w:hAnsi="Times New Roman" w:cs="Times New Roman"/>
          <w:iCs/>
          <w:sz w:val="24"/>
          <w:szCs w:val="24"/>
        </w:rPr>
        <w:t xml:space="preserve"> which is asymptotically χ</w:t>
      </w:r>
      <w:r w:rsidRPr="00B15898">
        <w:rPr>
          <w:rFonts w:ascii="Times New Roman" w:eastAsia="Yu Mincho" w:hAnsi="Times New Roman" w:cs="Times New Roman"/>
          <w:iCs/>
          <w:sz w:val="24"/>
          <w:szCs w:val="24"/>
          <w:vertAlign w:val="superscript"/>
        </w:rPr>
        <w:t>2</w:t>
      </w:r>
      <w:r w:rsidRPr="00B15898">
        <w:rPr>
          <w:rFonts w:ascii="Times New Roman" w:eastAsia="Yu Mincho" w:hAnsi="Times New Roman" w:cs="Times New Roman"/>
          <w:iCs/>
          <w:sz w:val="24"/>
          <w:szCs w:val="24"/>
        </w:rPr>
        <w:t xml:space="preserve"> distributed with corrected empirical Type I error rates.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F14"/>
    <w:rsid w:val="00034A34"/>
    <w:rsid w:val="00203F14"/>
    <w:rsid w:val="00237535"/>
    <w:rsid w:val="00251F24"/>
    <w:rsid w:val="003A1978"/>
    <w:rsid w:val="00B21222"/>
    <w:rsid w:val="00C734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B8CABE"/>
  <w15:chartTrackingRefBased/>
  <w15:docId w15:val="{479D1B0D-8960-4265-937D-EE216F7E8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F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3F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3F14"/>
    <w:rPr>
      <w:rFonts w:ascii="Segoe UI" w:hAnsi="Segoe UI" w:cs="Segoe UI"/>
      <w:sz w:val="18"/>
      <w:szCs w:val="18"/>
    </w:rPr>
  </w:style>
  <w:style w:type="character" w:styleId="CommentReference">
    <w:name w:val="annotation reference"/>
    <w:basedOn w:val="DefaultParagraphFont"/>
    <w:uiPriority w:val="99"/>
    <w:semiHidden/>
    <w:unhideWhenUsed/>
    <w:rsid w:val="00034A34"/>
    <w:rPr>
      <w:sz w:val="16"/>
      <w:szCs w:val="16"/>
    </w:rPr>
  </w:style>
  <w:style w:type="paragraph" w:styleId="CommentText">
    <w:name w:val="annotation text"/>
    <w:basedOn w:val="Normal"/>
    <w:link w:val="CommentTextChar"/>
    <w:uiPriority w:val="99"/>
    <w:unhideWhenUsed/>
    <w:rsid w:val="00034A34"/>
    <w:pPr>
      <w:spacing w:line="240" w:lineRule="auto"/>
    </w:pPr>
    <w:rPr>
      <w:sz w:val="20"/>
      <w:szCs w:val="20"/>
    </w:rPr>
  </w:style>
  <w:style w:type="character" w:customStyle="1" w:styleId="CommentTextChar">
    <w:name w:val="Comment Text Char"/>
    <w:basedOn w:val="DefaultParagraphFont"/>
    <w:link w:val="CommentText"/>
    <w:uiPriority w:val="99"/>
    <w:rsid w:val="00034A34"/>
    <w:rPr>
      <w:sz w:val="20"/>
      <w:szCs w:val="20"/>
    </w:rPr>
  </w:style>
  <w:style w:type="paragraph" w:styleId="FootnoteText">
    <w:name w:val="footnote text"/>
    <w:basedOn w:val="Normal"/>
    <w:link w:val="FootnoteTextChar"/>
    <w:uiPriority w:val="99"/>
    <w:semiHidden/>
    <w:unhideWhenUsed/>
    <w:rsid w:val="00034A3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34A34"/>
    <w:rPr>
      <w:sz w:val="20"/>
      <w:szCs w:val="20"/>
    </w:rPr>
  </w:style>
  <w:style w:type="character" w:styleId="FootnoteReference">
    <w:name w:val="footnote reference"/>
    <w:basedOn w:val="DefaultParagraphFont"/>
    <w:uiPriority w:val="99"/>
    <w:semiHidden/>
    <w:unhideWhenUsed/>
    <w:rsid w:val="00034A34"/>
    <w:rPr>
      <w:vertAlign w:val="superscript"/>
    </w:rPr>
  </w:style>
  <w:style w:type="character" w:styleId="EndnoteReference">
    <w:name w:val="endnote reference"/>
    <w:basedOn w:val="DefaultParagraphFont"/>
    <w:uiPriority w:val="99"/>
    <w:semiHidden/>
    <w:unhideWhenUsed/>
    <w:rsid w:val="00C7343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A7041C-3EBB-4B57-BEAC-97BA9C106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1379</Words>
  <Characters>7861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Himmelstein</dc:creator>
  <cp:keywords/>
  <dc:description/>
  <cp:lastModifiedBy>Mark Himmelstein</cp:lastModifiedBy>
  <cp:revision>3</cp:revision>
  <dcterms:created xsi:type="dcterms:W3CDTF">2020-12-18T17:35:00Z</dcterms:created>
  <dcterms:modified xsi:type="dcterms:W3CDTF">2021-01-04T22:52:00Z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http://www.zotero.org/styles/apa-annotated-bibliography</vt:lpwstr>
  </property>
  <property fmtid="{D5CDD505-2E9C-101B-9397-08002B2CF9AE}" pid="9" name="Mendeley Recent Style Name 3_1">
    <vt:lpwstr>American Psychological Association 7th edition (annotated bibliography)</vt:lpwstr>
  </property>
  <property fmtid="{D5CDD505-2E9C-101B-9397-08002B2CF9AE}" pid="10" name="Mendeley Recent Style Id 4_1">
    <vt:lpwstr>http://www.zotero.org/styles/american-sociological-association</vt:lpwstr>
  </property>
  <property fmtid="{D5CDD505-2E9C-101B-9397-08002B2CF9AE}" pid="11" name="Mendeley Recent Style Name 4_1">
    <vt:lpwstr>American Sociological Association</vt:lpwstr>
  </property>
  <property fmtid="{D5CDD505-2E9C-101B-9397-08002B2CF9AE}" pid="12" name="Mendeley Recent Style Id 5_1">
    <vt:lpwstr>http://www.zotero.org/styles/chicago-author-date</vt:lpwstr>
  </property>
  <property fmtid="{D5CDD505-2E9C-101B-9397-08002B2CF9AE}" pid="13" name="Mendeley Recent Style Name 5_1">
    <vt:lpwstr>Chicago Manual of Style 17th edition (author-date)</vt:lpwstr>
  </property>
  <property fmtid="{D5CDD505-2E9C-101B-9397-08002B2CF9AE}" pid="14" name="Mendeley Recent Style Id 6_1">
    <vt:lpwstr>http://www.zotero.org/styles/harvard-cite-them-right</vt:lpwstr>
  </property>
  <property fmtid="{D5CDD505-2E9C-101B-9397-08002B2CF9AE}" pid="15" name="Mendeley Recent Style Name 6_1">
    <vt:lpwstr>Cite Them Right 10th edition - Harvard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y fmtid="{D5CDD505-2E9C-101B-9397-08002B2CF9AE}" pid="22" name="Mendeley Document_1">
    <vt:lpwstr>True</vt:lpwstr>
  </property>
  <property fmtid="{D5CDD505-2E9C-101B-9397-08002B2CF9AE}" pid="23" name="Mendeley Unique User Id_1">
    <vt:lpwstr>27b22cc4-31f9-3793-88a4-f875167e286c</vt:lpwstr>
  </property>
  <property fmtid="{D5CDD505-2E9C-101B-9397-08002B2CF9AE}" pid="24" name="Mendeley Citation Style_1">
    <vt:lpwstr>http://www.zotero.org/styles/apa-annotated-bibliography</vt:lpwstr>
  </property>
</Properties>
</file>